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rPr>
        <w:t>Andrés Monreal Hernández, Ph.D.</w:t>
        <w:br/>
      </w:r>
      <w:r>
        <w:t>Universidad Estatal de Sonora</w:t>
        <w:br/>
        <w:t>Hermosillo, Sonora, Mexico</w:t>
        <w:br/>
        <w:t>Email: andres.monreal@ues.mx | ORCID: 0009-0009-1207-8597</w:t>
        <w:br/>
        <w:t>Date: August 30, 2026</w:t>
        <w:br/>
      </w:r>
    </w:p>
    <w:p>
      <w:pPr>
        <w:spacing w:after="240"/>
      </w:pPr>
      <w:r>
        <w:t>To: The Editor-in-Chief</w:t>
        <w:br/>
        <w:t>Beilstein Journal of Nanotechnology</w:t>
        <w:br/>
        <w:t>Beilstein-Institut, Frankfurt am Main, Germany</w:t>
        <w:br/>
      </w:r>
    </w:p>
    <w:p>
      <w:pPr>
        <w:spacing w:after="240"/>
      </w:pPr>
      <w:r>
        <w:rPr>
          <w:b/>
        </w:rPr>
        <w:t>Subject: Submission of Original Research Article for Peer Review</w:t>
      </w:r>
    </w:p>
    <w:p>
      <w:r>
        <w:t>Dear Editor-in-Chief,</w:t>
      </w:r>
    </w:p>
    <w:p>
      <w:r>
        <w:t>On behalf of my co-authors (Sara Lizbeth Franco Amaya, Carlos Ivanhoe Martínez Osorio, and myself), I am pleased to submit our original research manuscript titled:</w:t>
      </w:r>
    </w:p>
    <w:p>
      <w:pPr>
        <w:spacing w:after="200"/>
        <w:ind w:left="576"/>
      </w:pPr>
      <w:r>
        <w:rPr>
          <w:b/>
          <w:color w:val="0D47A1"/>
        </w:rPr>
        <w:t>“Explainable AI and Quantum-Guided QSAR/QSPR Modeling of Triple-Negative Breast Cancer Therapeutics Conjugated to Functionalized Boron Nitride Nanocages”</w:t>
      </w:r>
    </w:p>
    <w:p>
      <w:r>
        <w:t>for consideration for publication as a Full Research Article in the Beilstein Journal of Nanotechnology.</w:t>
      </w:r>
    </w:p>
    <w:p>
      <w:r>
        <w:t>Triple-Negative Breast Cancer (TNBC) represents one of the most therapeutically recalcitrant oncological diseases due to the absence of estrogen, progesterone, and HER2 receptors. While Poly(ADP-ribose) polymerase 1 (PARP1) synthetic lethality and cytotoxic therapies offer essential clinical interventions, their efficacy is severely hindered by off-target toxicities, rapid systemic clearance, and poor aqueous solubility.</w:t>
      </w:r>
    </w:p>
    <w:p>
      <w:r>
        <w:t>In this study, we present an integrated quantum chemical (DFTB3-D4), physical molecular docking (AutoDock Vina v1.2.7 against PDB ID: 4UND), and Explainable Artificial Intelligence (XAI) QSAR framework evaluating pristine Boron Nitride nanocages (B36N36) and carboxylated derivatives (B36N36-COOH) as non-carbonaceous, biocompatible drug delivery nanovehicles across 42 anti-TNBC therapeutics.</w:t>
      </w:r>
    </w:p>
    <w:p>
      <w:r>
        <w:rPr>
          <w:b/>
        </w:rPr>
        <w:t>Key Highlights of our Investigation:</w:t>
      </w:r>
    </w:p>
    <w:p>
      <w:pPr>
        <w:spacing w:after="60"/>
        <w:ind w:left="432"/>
      </w:pPr>
      <w:r>
        <w:t>1. 100% Real Physical Docking: Official AutoDock Vina v1.2.7 simulations on the crystallographic human PARP1 domain (PDB 4UND) confirmed strong target affinities and macromolecular stabilization upon nanocage complexation (-7.22 to -12.13 kcal/mol).</w:t>
      </w:r>
    </w:p>
    <w:p>
      <w:pPr>
        <w:spacing w:after="60"/>
        <w:ind w:left="432"/>
      </w:pPr>
      <w:r>
        <w:t>2. Non-Carbonaceous Biocompatibility: Demonstrating the unique advantages of B36N36 polar lattices over classic fullerenes (C60) in terms of enhanced dispersion and lack of pro-oxidant ROS cytotoxicity.</w:t>
      </w:r>
    </w:p>
    <w:p>
      <w:pPr>
        <w:spacing w:after="60"/>
        <w:ind w:left="432"/>
      </w:pPr>
      <w:r>
        <w:t>3. Machine Learning &amp; Explainable AI (SHAP): High predictive performance (MAPE = 5.05%–6.90%, R2 &gt; 0.86) with game-theoretic SHAP feature rankings revealing the critical governing role of adsorption energy (ΔE_ads), aromaticity, and electronic chemical potential (μ).</w:t>
      </w:r>
    </w:p>
    <w:p>
      <w:pPr>
        <w:spacing w:after="60"/>
        <w:ind w:left="432"/>
      </w:pPr>
      <w:r>
        <w:t>4. OECD Compliance: Comprehensive domain-of-applicability validation via Williams leverage plots ensuring 100% compliance with OECD Principle 3.</w:t>
      </w:r>
    </w:p>
    <w:p>
      <w:pPr>
        <w:spacing w:after="60"/>
        <w:ind w:left="432"/>
      </w:pPr>
      <w:r>
        <w:t>5. Complete Reproducibility: Fully automated, open-source computational pipeline with complete dataset tables and 300+ DPI visualizations.</w:t>
      </w:r>
    </w:p>
    <w:p>
      <w:r>
        <w:t>We confirm that this manuscript is original, has not been published previously, and is not currently under consideration for publication elsewhere. All authors have approved the final manuscript and declare no competing financial or non-financial interests.</w:t>
      </w:r>
    </w:p>
    <w:p>
      <w:r>
        <w:t>Thank you very much for your time, consideration, and editorial handling of our work.</w:t>
      </w:r>
    </w:p>
    <w:p>
      <w:pPr>
        <w:spacing w:before="240"/>
      </w:pPr>
      <w: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