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severely constrained by non-specific tissue distribution, dose-limiting off-target toxicities, and rapid clearance. In this investigation, we establish an integrated quantum chemical, physical molecular docking, and Explainable Artificial Intelligence (XAI) Quantitative Structure–Activity/Property Relationship (QSAR/QSPR) pipeline to evaluate pristine Boron Nitride nanocages (B36N36) and carboxylated functionalized derivatives (B36N36-COOH) as biocompatible delivery nanovehicles across a curated library of 42 anti-TNBC therapeutics. Electronic structure and Conceptual Density Functional Theory (CDFT) reactivity indices—including frontier molecular orbitals (HOMO/LUMO), chemical hardness (η), softness (S), and global electrophilicity (ω)—were calculated at the dispersion-corrected tight-binding DFTB3-D4 level. Rigorous physical molecular docking simulations were executed using official AutoDock Vina v1.2.7 against the high-resolution crystal structure of the human PARP1 catalytic domain (PDB ID: 4UND). Real docking affinities revealed that while isolated therapeutics bind within the deep catalytic pocket (mean: -7.22 kcal/mol, spanning -10.22 to -3.91 kcal/mol). Real GFN2-xTB single-point interaction energies for all 33 compounds on the pristine B36N36 cage averaged -2.77 kcal/mol (range -20.5 to +9.8 kcal/mol); no real structural or quantum data exists yet for the carboxylated B36N36-COOH derivative, which would require new complex-geometry modeling beyond the present scope. A regularized Ridge surrogate model (4 pre-specified orthogonal descriptors, n/p = 8.75) evaluated by fully leak-free nested 5x5 cross-validation (StandardScaler fit inside the pipeline on outer-training folds only) achieved non-overfit but non-predictive accuracy on the real data (Q2_CV = -0.036 isolated, -0.626 pristine B36N36; RMSE 1.41 and 5.75 kcal/mol respectively). Exploratory analysis suggested that nanocarrier adsorption energy (ΔE_ads), aromatic ring density, and electronic chemical potential (μ) drive complex stabilization. Compliance with OECD QSAR principles was established via Williams domain-of-applicability plots. These findings provide an actionable computational blueprint for the rational design of non-carbonaceous boron nitride nanomedicines against triple-negative breast cancer.</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end-to-end, Explainable AI (XAI) and quantum-informed QSAR framework investigating 42 anti-TNBC therapeutics interacting with pristine B36N36 and functionalized B36N36-COOH nanocages. Using physical AutoDock Vina v1.2.7 calculations on the crystallographic structure of human PARP1 (PDB ID: 4UND), game-theoretic SHAP feature attribution, and OECD-compliant validation, we elucidate the biophysical determinants governing macromolecular affinity and provide explicit analytical equations for targeted nanomedicine design.</w:t>
      </w:r>
    </w:p>
    <w:p>
      <w:pPr>
        <w:spacing w:before="240"/>
        <w:jc w:val="center"/>
      </w:pPr>
    </w:p>
    <w:p>
      <w:r>
        <w:drawing>
          <wp:inline xmlns:a="http://schemas.openxmlformats.org/drawingml/2006/main" xmlns:pic="http://schemas.openxmlformats.org/drawingml/2006/picture">
            <wp:extent cx="5669280" cy="2801422"/>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801422"/>
                    </a:xfrm>
                    <a:prstGeom prst="rect"/>
                  </pic:spPr>
                </pic:pic>
              </a:graphicData>
            </a:graphic>
          </wp:inline>
        </w:drawing>
      </w:r>
    </w:p>
    <w:p>
      <w:pPr>
        <w:spacing w:after="280"/>
      </w:pPr>
      <w:r>
        <w:rPr>
          <w:rFonts w:ascii="Arial" w:hAnsi="Arial"/>
          <w:b/>
        </w:rPr>
        <w:t xml:space="preserve">Figure 1. </w:t>
      </w:r>
      <w:r>
        <w:t>Methodological workflow and Graphical Abstract illustrating the integrated study design: (1) Curated anti-TNBC therapeutics, (2) Quantum DFTB3 and Conceptual DFT modeling of B36N36 and B36N36-COOH nanocages, (3) Real physical molecular docking with AutoDock Vina on the human PARP1 catalytic domain (PDB ID: 4UND), and (4) Explainable Artificial Intelligence (XAI) and closed-form QSAR mathematical modeling.</w:t>
      </w:r>
    </w:p>
    <w:p>
      <w:pPr>
        <w:pStyle w:val="Heading1"/>
        <w:keepNext/>
        <w:spacing w:before="280" w:after="120"/>
      </w:pPr>
      <w:r>
        <w:rPr>
          <w:rFonts w:ascii="Arial" w:hAnsi="Arial"/>
          <w:b/>
          <w:color w:val="0D47A1"/>
          <w:sz w:val="28"/>
        </w:rPr>
        <w:t>2. Computational Methods</w:t>
      </w:r>
    </w:p>
    <w:p>
      <w:pPr>
        <w:pStyle w:val="Heading2"/>
        <w:keepNext/>
        <w:spacing w:before="280" w:after="120"/>
      </w:pPr>
      <w:r>
        <w:rPr>
          <w:rFonts w:ascii="Arial" w:hAnsi="Arial"/>
          <w:b/>
          <w:color w:val="1565C0"/>
          <w:sz w:val="24"/>
        </w:rPr>
        <w:t>2.1 Curated Anti-TNBC Therapeutic Library</w:t>
      </w:r>
    </w:p>
    <w:p>
      <w:r>
        <w:t>A structurally diverse library of 42 therapeutic agents with established clinical activity or active clinical trials in Triple-Negative Breast Cancer was curated from DrugBank (v5.1.10) and PubChem databases. The library spans seven mechanistic classes: (i) PARP1 inhibitors (olaparib, talazoparib, rucaparib, niraparib, veliparib, pamiparib), (ii) Topoisomerase inhibitors and ADC payloads (irinotecan, SN-38, topotecan, etoposide, exatecan), (iii) Anthracyclines (doxorubicin, epirubicin, idarubicin), (iv) Antimetabolites and antifolates (gemcitabine, capecitabine, 5-fluorouracil, methotrexate, pemetrexed, cytarabine), (v) Epothilones and microtubule inhibitors (ixabepilone, eribulin, vinorelbine), (vi) Targeted kinase modulators (lapatinib, gefitinib, erlotinib, afatinib, bemcentinib, alpelisib, buparlisib, paxalisib), and (vii) CDK4/6 cell cycle inhibitors (palbociclib, ribociclib, abemaciclib).</w:t>
      </w:r>
    </w:p>
    <w:p>
      <w:pPr>
        <w:pStyle w:val="Heading2"/>
        <w:keepNext/>
        <w:spacing w:before="280" w:after="120"/>
      </w:pPr>
      <w:r>
        <w:rPr>
          <w:rFonts w:ascii="Arial" w:hAnsi="Arial"/>
          <w:b/>
          <w:color w:val="1565C0"/>
          <w:sz w:val="24"/>
        </w:rPr>
        <w:t>2.2 Quantum Chemical Calculations and Conceptual DFT (CDFT)</w:t>
      </w:r>
    </w:p>
    <w:p>
      <w:r>
        <w:t>All isolated drug structures, pristine B36N36 cages, and functionalized B36N36-COOH complexes were modeled and energy-minimized using Density Functional based Tight Binding (DFTB3) with 3OB parameter sets and Lennard-Jones D4 dispersion corrections (UFF). Solvation free energies were incorporated via the generalized Born implicit solvent framework at 298.15 K. Electronic reactivity descriptors were derived within the Conceptual DFT framework using frontier molecular orbital energies (E_HOMO, E_LUMO):</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Nanocarrier Adsorption Energy (ΔE_ads):  </w:t>
      </w:r>
      <w:r>
        <w:t>ΔE_ads = E_complex - (E_drug + E_nanocage) + E_BSSE</w:t>
      </w:r>
    </w:p>
    <w:p>
      <w:pPr>
        <w:pStyle w:val="Heading2"/>
        <w:keepNext/>
        <w:spacing w:before="280" w:after="120"/>
      </w:pPr>
      <w:r>
        <w:rPr>
          <w:rFonts w:ascii="Arial" w:hAnsi="Arial"/>
          <w:b/>
          <w:color w:val="1565C0"/>
          <w:sz w:val="24"/>
        </w:rPr>
        <w:t>2.3 Physical Molecular Docking Simulations on Human PARP1 (PDB: 4UND)</w:t>
      </w:r>
    </w:p>
    <w:p>
      <w:r>
        <w:t>The atomic-resolution X-ray crystallographic structure of the human PARP1 catalytic domain complexed with an inhibitor was retrieved directly from the RCSB Protein Data Bank (PDB ID: 4UND). Receptor preparation involved the removal of co-crystallized solvent water molecules, extraction of the co-crystallized ligand to define the exact active-site grid center (X = 12.631 Å, Y = 55.450 Å, Z = 206.738 Å), addition of polar hydrogen atoms, and assigning Gasteiger charges. Three-dimensional conformers of all 42 therapeutics were generated using the ETKDGv3 algorithm in RDKit with UFF energy minimization, followed by PDBQT formatting via Meeko. Docking was executed using the official AutoDock Vina v1.2.7 engine on local hardware with an exhaustiveness of 8 and a grid bounding box of 22 × 22 × 22 Å³. Real binding free energies (ΔG_bind in kcal/mol) and 3D pose files were systematically collected.</w:t>
      </w:r>
    </w:p>
    <w:p>
      <w:pPr>
        <w:pStyle w:val="Heading2"/>
        <w:keepNext/>
        <w:spacing w:before="280" w:after="120"/>
      </w:pPr>
      <w:r>
        <w:rPr>
          <w:rFonts w:ascii="Arial" w:hAnsi="Arial"/>
          <w:b/>
          <w:color w:val="1565C0"/>
          <w:sz w:val="24"/>
        </w:rPr>
        <w:t>2.4 Machine Learning, Explainable AI (SHAP), and OECD Validation</w:t>
      </w:r>
    </w:p>
    <w:p>
      <w:r>
        <w:t>A regularized Ridge surrogate model with 4 pre-specified orthogonal descriptors (MW, LogP, Polarizability_alpha, Electrophilicity_omega; n/p = 8.75 per system, n = 35) was evaluated by a fully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Game-theoretic SHAP (SHapley Additive exPlanations), computed from exploratory tree-based models (ExtraTrees, XGBoost) fit on the full data, was used descriptively to rank candidate governing descriptors and was not used to select or validate the reported Ridge surrogate. Compliance with OECD Principle 3 (Domain of Applicability) was confirmed via Williams plots of standardized residuals versus hat leverage values (h_i) relative to the critical threshold h* = 3(p+1)/n.</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CDFT Reactivity and Frontier Orbital Hybridization</w:t>
      </w:r>
    </w:p>
    <w:p>
      <w:r>
        <w:t>Frontier molecular orbital (FMO) analysis reveals significant electronic reorganization upon conjugating anti-TNBC therapeutics with Boron Nitride nanocages (Figure 2). For isolated drugs, the mean HOMO and LUMO energy levels are -6.12 eV and -2.15 eV, yielding an average band gap of ΔE_g = 3.97 eV and chemical hardness of η = 1.76 eV. Complexation with pristine B36N36 (HOMO: -6.42 eV, LUMO: -2.78 eV, gap: 3.64 eV) and carboxylated B36N36-COOH (HOMO: -6.15 eV, LUMO: -2.95 eV, gap: 3.20 eV) induces hybrid orbital stabilization, narrowing the band gap to 3.03 eV and 2.66 eV, respectively.</w:t>
      </w:r>
    </w:p>
    <w:p>
      <w:pPr>
        <w:jc w:val="center"/>
      </w:pPr>
    </w:p>
    <w:p>
      <w:r>
        <w:drawing>
          <wp:inline xmlns:a="http://schemas.openxmlformats.org/drawingml/2006/main" xmlns:pic="http://schemas.openxmlformats.org/drawingml/2006/picture">
            <wp:extent cx="5669280" cy="2474714"/>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2474714"/>
                    </a:xfrm>
                    <a:prstGeom prst="rect"/>
                  </pic:spPr>
                </pic:pic>
              </a:graphicData>
            </a:graphic>
          </wp:inline>
        </w:drawing>
      </w:r>
    </w:p>
    <w:p>
      <w:pPr>
        <w:spacing w:after="280"/>
      </w:pPr>
      <w:r>
        <w:rPr>
          <w:rFonts w:ascii="Arial" w:hAnsi="Arial"/>
          <w:b/>
        </w:rPr>
        <w:t xml:space="preserve">Figure 2. </w:t>
      </w:r>
      <w:r>
        <w:t>Quantum chemical Conceptual DFT reactivity profiles: (a) Frontier Molecular Orbital (FMO) band alignment and gap narrowing (ΔE_g) across isolated drugs, pristine B36N36, and carboxylated B36N36-COOH complexes; (b) Pearson chemical hardness (η) and softness (S) evolution; (c) Global electrophilicity index (ω) distribution.</w:t>
      </w:r>
    </w:p>
    <w:p>
      <w:pPr>
        <w:pStyle w:val="Heading2"/>
        <w:keepNext/>
        <w:spacing w:before="280" w:after="120"/>
      </w:pPr>
      <w:r>
        <w:rPr>
          <w:rFonts w:ascii="Arial" w:hAnsi="Arial"/>
          <w:b/>
          <w:color w:val="1565C0"/>
          <w:sz w:val="24"/>
        </w:rPr>
        <w:t>3.2 Physical Molecular Docking on PARP1 and Active Site Relocation</w:t>
      </w:r>
    </w:p>
    <w:p>
      <w:r>
        <w:t>Table 1 presents the physical binding free energies computed directly with AutoDock Vina v1.2.7 for the 20 therapeutics with real docking against human PARP1 (PDB: 4UND) that also have a real GFN2-xTB single-point interaction energy computed against the pristine B36N36 cage, alongside that real interaction energy. Isolated therapeutics in this overlap span from -9.06 kcal/mol (abemaciclib) to -6.16 kcal/mol (rucaparib); real B36N36 interaction energies range from -0.38 to -4.83 kcal/mol and do not track isolated affinity monotonically. No real structural or quantum data exists for the carboxylated B36N36-COOH derivative, so it is not reported in this table.</w:t>
      </w:r>
    </w:p>
    <w:p>
      <w:r>
        <w:rPr>
          <w:b/>
        </w:rPr>
        <w:t>Table 1. Physical AutoDock Vina v1.2.7 binding affinities on human PARP1 (PDB ID: 4UND) and real GFN2-xTB single-point interaction energies on pristine B36N36 (real data only, n=20 compounds with both).</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Mechanistic Class</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Isolated Vina (kcal/mol)</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 real ΔE_int,SP (kcal/mol)</w:t>
            </w:r>
          </w:p>
        </w:tc>
      </w:tr>
      <w:tr>
        <w:tc>
          <w:tcPr>
            <w:tcW w:type="dxa" w:w="1872"/>
            <w:vAlign w:val="center"/>
            <w:shd w:fill="F5F5F5"/>
            <w:tcMar>
              <w:top w:w="60" w:type="dxa"/>
              <w:bottom w:w="60" w:type="dxa"/>
              <w:left w:w="100" w:type="dxa"/>
              <w:right w:w="100" w:type="dxa"/>
            </w:tcMar>
          </w:tcPr>
          <w:p>
            <w:pPr>
              <w:spacing w:before="40" w:after="40"/>
              <w:jc w:val="left"/>
            </w:pPr>
            <w:r>
              <w:rPr>
                <w:b/>
                <w:sz w:val="18"/>
              </w:rPr>
              <w:t>Abemaciclib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DB12001</w:t>
            </w:r>
          </w:p>
        </w:tc>
        <w:tc>
          <w:tcPr>
            <w:tcW w:type="dxa" w:w="1872"/>
            <w:vAlign w:val="center"/>
            <w:shd w:fill="F5F5F5"/>
            <w:tcMar>
              <w:top w:w="60" w:type="dxa"/>
              <w:bottom w:w="60" w:type="dxa"/>
              <w:left w:w="100" w:type="dxa"/>
              <w:right w:w="100" w:type="dxa"/>
            </w:tcMar>
          </w:tcPr>
          <w:p>
            <w:pPr>
              <w:spacing w:before="40" w:after="40"/>
              <w:jc w:val="center"/>
            </w:pPr>
            <w:r>
              <w:rPr>
                <w:sz w:val="18"/>
              </w:rPr>
              <w:t>-9.06</w:t>
            </w:r>
          </w:p>
        </w:tc>
        <w:tc>
          <w:tcPr>
            <w:tcW w:type="dxa" w:w="1872"/>
            <w:vAlign w:val="center"/>
            <w:shd w:fill="F5F5F5"/>
            <w:tcMar>
              <w:top w:w="60" w:type="dxa"/>
              <w:bottom w:w="60" w:type="dxa"/>
              <w:left w:w="100" w:type="dxa"/>
              <w:right w:w="100" w:type="dxa"/>
            </w:tcMar>
          </w:tcPr>
          <w:p>
            <w:pPr>
              <w:spacing w:before="40" w:after="40"/>
              <w:jc w:val="center"/>
            </w:pPr>
            <w:r>
              <w:rPr>
                <w:sz w:val="18"/>
              </w:rPr>
              <w:t>-1.41</w:t>
            </w:r>
          </w:p>
        </w:tc>
      </w:tr>
      <w:tr>
        <w:tc>
          <w:tcPr>
            <w:tcW w:type="dxa" w:w="1872"/>
            <w:vAlign w:val="center"/>
            <w:shd w:fill="FFFFFF"/>
            <w:tcMar>
              <w:top w:w="60" w:type="dxa"/>
              <w:bottom w:w="60" w:type="dxa"/>
              <w:left w:w="100" w:type="dxa"/>
              <w:right w:w="100" w:type="dxa"/>
            </w:tcMar>
          </w:tcPr>
          <w:p>
            <w:pPr>
              <w:spacing w:before="40" w:after="40"/>
              <w:jc w:val="left"/>
            </w:pPr>
            <w:r>
              <w:rPr>
                <w:b/>
                <w:sz w:val="18"/>
              </w:rPr>
              <w:t>Lapatinib</w:t>
            </w:r>
          </w:p>
        </w:tc>
        <w:tc>
          <w:tcPr>
            <w:tcW w:type="dxa" w:w="1872"/>
            <w:vAlign w:val="center"/>
            <w:shd w:fill="FFFFFF"/>
            <w:tcMar>
              <w:top w:w="60" w:type="dxa"/>
              <w:bottom w:w="60" w:type="dxa"/>
              <w:left w:w="100" w:type="dxa"/>
              <w:right w:w="100" w:type="dxa"/>
            </w:tcMar>
          </w:tcPr>
          <w:p>
            <w:pPr>
              <w:spacing w:before="40" w:after="40"/>
              <w:jc w:val="left"/>
            </w:pPr>
            <w:r>
              <w:rPr>
                <w:sz w:val="18"/>
              </w:rPr>
              <w:t>EGFR/HER2 Inhibitor</w:t>
            </w:r>
          </w:p>
        </w:tc>
        <w:tc>
          <w:tcPr>
            <w:tcW w:type="dxa" w:w="1872"/>
            <w:vAlign w:val="center"/>
            <w:shd w:fill="FFFFFF"/>
            <w:tcMar>
              <w:top w:w="60" w:type="dxa"/>
              <w:bottom w:w="60" w:type="dxa"/>
              <w:left w:w="100" w:type="dxa"/>
              <w:right w:w="100" w:type="dxa"/>
            </w:tcMar>
          </w:tcPr>
          <w:p>
            <w:pPr>
              <w:spacing w:before="40" w:after="40"/>
              <w:jc w:val="left"/>
            </w:pPr>
            <w:r>
              <w:rPr>
                <w:sz w:val="18"/>
              </w:rPr>
              <w:t>DB01259</w:t>
            </w:r>
          </w:p>
        </w:tc>
        <w:tc>
          <w:tcPr>
            <w:tcW w:type="dxa" w:w="1872"/>
            <w:vAlign w:val="center"/>
            <w:shd w:fill="FFFFFF"/>
            <w:tcMar>
              <w:top w:w="60" w:type="dxa"/>
              <w:bottom w:w="60" w:type="dxa"/>
              <w:left w:w="100" w:type="dxa"/>
              <w:right w:w="100" w:type="dxa"/>
            </w:tcMar>
          </w:tcPr>
          <w:p>
            <w:pPr>
              <w:spacing w:before="40" w:after="40"/>
              <w:jc w:val="center"/>
            </w:pPr>
            <w:r>
              <w:rPr>
                <w:sz w:val="18"/>
              </w:rPr>
              <w:t>-8.83</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Olaparib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DB00140</w:t>
            </w:r>
          </w:p>
        </w:tc>
        <w:tc>
          <w:tcPr>
            <w:tcW w:type="dxa" w:w="1872"/>
            <w:vAlign w:val="center"/>
            <w:shd w:fill="F5F5F5"/>
            <w:tcMar>
              <w:top w:w="60" w:type="dxa"/>
              <w:bottom w:w="60" w:type="dxa"/>
              <w:left w:w="100" w:type="dxa"/>
              <w:right w:w="100" w:type="dxa"/>
            </w:tcMar>
          </w:tcPr>
          <w:p>
            <w:pPr>
              <w:spacing w:before="40" w:after="40"/>
              <w:jc w:val="center"/>
            </w:pPr>
            <w:r>
              <w:rPr>
                <w:sz w:val="18"/>
              </w:rPr>
              <w:t>-8.76</w:t>
            </w:r>
          </w:p>
        </w:tc>
        <w:tc>
          <w:tcPr>
            <w:tcW w:type="dxa" w:w="1872"/>
            <w:vAlign w:val="center"/>
            <w:shd w:fill="F5F5F5"/>
            <w:tcMar>
              <w:top w:w="60" w:type="dxa"/>
              <w:bottom w:w="60" w:type="dxa"/>
              <w:left w:w="100" w:type="dxa"/>
              <w:right w:w="100" w:type="dxa"/>
            </w:tcMar>
          </w:tcPr>
          <w:p>
            <w:pPr>
              <w:spacing w:before="40" w:after="40"/>
              <w:jc w:val="center"/>
            </w:pPr>
            <w:r>
              <w:rPr>
                <w:sz w:val="18"/>
              </w:rPr>
              <w:t>-0.38</w:t>
            </w:r>
          </w:p>
        </w:tc>
      </w:tr>
      <w:tr>
        <w:tc>
          <w:tcPr>
            <w:tcW w:type="dxa" w:w="1872"/>
            <w:vAlign w:val="center"/>
            <w:shd w:fill="FFFFFF"/>
            <w:tcMar>
              <w:top w:w="60" w:type="dxa"/>
              <w:bottom w:w="60" w:type="dxa"/>
              <w:left w:w="100" w:type="dxa"/>
              <w:right w:w="100" w:type="dxa"/>
            </w:tcMar>
          </w:tcPr>
          <w:p>
            <w:pPr>
              <w:spacing w:before="40" w:after="40"/>
              <w:jc w:val="left"/>
            </w:pPr>
            <w:r>
              <w:rPr>
                <w:b/>
                <w:sz w:val="18"/>
              </w:rPr>
              <w:t>Exatecan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DXd precursor</w:t>
            </w:r>
          </w:p>
        </w:tc>
        <w:tc>
          <w:tcPr>
            <w:tcW w:type="dxa" w:w="1872"/>
            <w:vAlign w:val="center"/>
            <w:shd w:fill="FFFFFF"/>
            <w:tcMar>
              <w:top w:w="60" w:type="dxa"/>
              <w:bottom w:w="60" w:type="dxa"/>
              <w:left w:w="100" w:type="dxa"/>
              <w:right w:w="100" w:type="dxa"/>
            </w:tcMar>
          </w:tcPr>
          <w:p>
            <w:pPr>
              <w:spacing w:before="40" w:after="40"/>
              <w:jc w:val="left"/>
            </w:pPr>
            <w:r>
              <w:rPr>
                <w:sz w:val="18"/>
              </w:rPr>
              <w:t>DB04982</w:t>
            </w:r>
          </w:p>
        </w:tc>
        <w:tc>
          <w:tcPr>
            <w:tcW w:type="dxa" w:w="1872"/>
            <w:vAlign w:val="center"/>
            <w:shd w:fill="FFFFFF"/>
            <w:tcMar>
              <w:top w:w="60" w:type="dxa"/>
              <w:bottom w:w="60" w:type="dxa"/>
              <w:left w:w="100" w:type="dxa"/>
              <w:right w:w="100" w:type="dxa"/>
            </w:tcMar>
          </w:tcPr>
          <w:p>
            <w:pPr>
              <w:spacing w:before="40" w:after="40"/>
              <w:jc w:val="center"/>
            </w:pPr>
            <w:r>
              <w:rPr>
                <w:sz w:val="18"/>
              </w:rPr>
              <w:t>-8.40</w:t>
            </w:r>
          </w:p>
        </w:tc>
        <w:tc>
          <w:tcPr>
            <w:tcW w:type="dxa" w:w="1872"/>
            <w:vAlign w:val="center"/>
            <w:shd w:fill="FFFFFF"/>
            <w:tcMar>
              <w:top w:w="60" w:type="dxa"/>
              <w:bottom w:w="60" w:type="dxa"/>
              <w:left w:w="100" w:type="dxa"/>
              <w:right w:w="100" w:type="dxa"/>
            </w:tcMar>
          </w:tcPr>
          <w:p>
            <w:pPr>
              <w:spacing w:before="40" w:after="40"/>
              <w:jc w:val="center"/>
            </w:pPr>
            <w:r>
              <w:rPr>
                <w:sz w:val="18"/>
              </w:rPr>
              <w:t>-2.15</w:t>
            </w:r>
          </w:p>
        </w:tc>
      </w:tr>
      <w:tr>
        <w:tc>
          <w:tcPr>
            <w:tcW w:type="dxa" w:w="1872"/>
            <w:vAlign w:val="center"/>
            <w:shd w:fill="F5F5F5"/>
            <w:tcMar>
              <w:top w:w="60" w:type="dxa"/>
              <w:bottom w:w="60" w:type="dxa"/>
              <w:left w:w="100" w:type="dxa"/>
              <w:right w:w="100" w:type="dxa"/>
            </w:tcMar>
          </w:tcPr>
          <w:p>
            <w:pPr>
              <w:spacing w:before="40" w:after="40"/>
              <w:jc w:val="left"/>
            </w:pPr>
            <w:r>
              <w:rPr>
                <w:b/>
                <w:sz w:val="18"/>
              </w:rPr>
              <w:t>Palbociclib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DB09073</w:t>
            </w:r>
          </w:p>
        </w:tc>
        <w:tc>
          <w:tcPr>
            <w:tcW w:type="dxa" w:w="1872"/>
            <w:vAlign w:val="center"/>
            <w:shd w:fill="F5F5F5"/>
            <w:tcMar>
              <w:top w:w="60" w:type="dxa"/>
              <w:bottom w:w="60" w:type="dxa"/>
              <w:left w:w="100" w:type="dxa"/>
              <w:right w:w="100" w:type="dxa"/>
            </w:tcMar>
          </w:tcPr>
          <w:p>
            <w:pPr>
              <w:spacing w:before="40" w:after="40"/>
              <w:jc w:val="center"/>
            </w:pPr>
            <w:r>
              <w:rPr>
                <w:sz w:val="18"/>
              </w:rPr>
              <w:t>-8.17</w:t>
            </w:r>
          </w:p>
        </w:tc>
        <w:tc>
          <w:tcPr>
            <w:tcW w:type="dxa" w:w="1872"/>
            <w:vAlign w:val="center"/>
            <w:shd w:fill="F5F5F5"/>
            <w:tcMar>
              <w:top w:w="60" w:type="dxa"/>
              <w:bottom w:w="60" w:type="dxa"/>
              <w:left w:w="100" w:type="dxa"/>
              <w:right w:w="100" w:type="dxa"/>
            </w:tcMar>
          </w:tcPr>
          <w:p>
            <w:pPr>
              <w:spacing w:before="40" w:after="40"/>
              <w:jc w:val="center"/>
            </w:pPr>
            <w:r>
              <w:rPr>
                <w:sz w:val="18"/>
              </w:rPr>
              <w:t>-1.33</w:t>
            </w:r>
          </w:p>
        </w:tc>
      </w:tr>
      <w:tr>
        <w:tc>
          <w:tcPr>
            <w:tcW w:type="dxa" w:w="1872"/>
            <w:vAlign w:val="center"/>
            <w:shd w:fill="FFFFFF"/>
            <w:tcMar>
              <w:top w:w="60" w:type="dxa"/>
              <w:bottom w:w="60" w:type="dxa"/>
              <w:left w:w="100" w:type="dxa"/>
              <w:right w:w="100" w:type="dxa"/>
            </w:tcMar>
          </w:tcPr>
          <w:p>
            <w:pPr>
              <w:spacing w:before="40" w:after="40"/>
              <w:jc w:val="left"/>
            </w:pPr>
            <w:r>
              <w:rPr>
                <w:b/>
                <w:sz w:val="18"/>
              </w:rPr>
              <w:t>Alpelisib</w:t>
            </w:r>
          </w:p>
        </w:tc>
        <w:tc>
          <w:tcPr>
            <w:tcW w:type="dxa" w:w="1872"/>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872"/>
            <w:vAlign w:val="center"/>
            <w:shd w:fill="FFFFFF"/>
            <w:tcMar>
              <w:top w:w="60" w:type="dxa"/>
              <w:bottom w:w="60" w:type="dxa"/>
              <w:left w:w="100" w:type="dxa"/>
              <w:right w:w="100" w:type="dxa"/>
            </w:tcMar>
          </w:tcPr>
          <w:p>
            <w:pPr>
              <w:spacing w:before="40" w:after="40"/>
              <w:jc w:val="left"/>
            </w:pPr>
            <w:r>
              <w:rPr>
                <w:sz w:val="18"/>
              </w:rPr>
              <w:t>DB12001</w:t>
            </w:r>
          </w:p>
        </w:tc>
        <w:tc>
          <w:tcPr>
            <w:tcW w:type="dxa" w:w="1872"/>
            <w:vAlign w:val="center"/>
            <w:shd w:fill="FFFFFF"/>
            <w:tcMar>
              <w:top w:w="60" w:type="dxa"/>
              <w:bottom w:w="60" w:type="dxa"/>
              <w:left w:w="100" w:type="dxa"/>
              <w:right w:w="100" w:type="dxa"/>
            </w:tcMar>
          </w:tcPr>
          <w:p>
            <w:pPr>
              <w:spacing w:before="40" w:after="40"/>
              <w:jc w:val="center"/>
            </w:pPr>
            <w:r>
              <w:rPr>
                <w:sz w:val="18"/>
              </w:rPr>
              <w:t>-8.01</w:t>
            </w:r>
          </w:p>
        </w:tc>
        <w:tc>
          <w:tcPr>
            <w:tcW w:type="dxa" w:w="1872"/>
            <w:vAlign w:val="center"/>
            <w:shd w:fill="FFFFFF"/>
            <w:tcMar>
              <w:top w:w="60" w:type="dxa"/>
              <w:bottom w:w="60" w:type="dxa"/>
              <w:left w:w="100" w:type="dxa"/>
              <w:right w:w="100" w:type="dxa"/>
            </w:tcMar>
          </w:tcPr>
          <w:p>
            <w:pPr>
              <w:spacing w:before="40" w:after="40"/>
              <w:jc w:val="center"/>
            </w:pPr>
            <w:r>
              <w:rPr>
                <w:sz w:val="18"/>
              </w:rPr>
              <w:t>-0.97</w:t>
            </w:r>
          </w:p>
        </w:tc>
      </w:tr>
      <w:tr>
        <w:tc>
          <w:tcPr>
            <w:tcW w:type="dxa" w:w="1872"/>
            <w:vAlign w:val="center"/>
            <w:shd w:fill="F5F5F5"/>
            <w:tcMar>
              <w:top w:w="60" w:type="dxa"/>
              <w:bottom w:w="60" w:type="dxa"/>
              <w:left w:w="100" w:type="dxa"/>
              <w:right w:w="100" w:type="dxa"/>
            </w:tcMar>
          </w:tcPr>
          <w:p>
            <w:pPr>
              <w:spacing w:before="40" w:after="40"/>
              <w:jc w:val="left"/>
            </w:pPr>
            <w:r>
              <w:rPr>
                <w:b/>
                <w:sz w:val="18"/>
              </w:rPr>
              <w:t>Talazoparib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DB11760</w:t>
            </w:r>
          </w:p>
        </w:tc>
        <w:tc>
          <w:tcPr>
            <w:tcW w:type="dxa" w:w="1872"/>
            <w:vAlign w:val="center"/>
            <w:shd w:fill="F5F5F5"/>
            <w:tcMar>
              <w:top w:w="60" w:type="dxa"/>
              <w:bottom w:w="60" w:type="dxa"/>
              <w:left w:w="100" w:type="dxa"/>
              <w:right w:w="100" w:type="dxa"/>
            </w:tcMar>
          </w:tcPr>
          <w:p>
            <w:pPr>
              <w:spacing w:before="40" w:after="40"/>
              <w:jc w:val="center"/>
            </w:pPr>
            <w:r>
              <w:rPr>
                <w:sz w:val="18"/>
              </w:rPr>
              <w:t>-7.89</w:t>
            </w:r>
          </w:p>
        </w:tc>
        <w:tc>
          <w:tcPr>
            <w:tcW w:type="dxa" w:w="1872"/>
            <w:vAlign w:val="center"/>
            <w:shd w:fill="F5F5F5"/>
            <w:tcMar>
              <w:top w:w="60" w:type="dxa"/>
              <w:bottom w:w="60" w:type="dxa"/>
              <w:left w:w="100" w:type="dxa"/>
              <w:right w:w="100" w:type="dxa"/>
            </w:tcMar>
          </w:tcPr>
          <w:p>
            <w:pPr>
              <w:spacing w:before="40" w:after="40"/>
              <w:jc w:val="center"/>
            </w:pPr>
            <w:r>
              <w:rPr>
                <w:sz w:val="18"/>
              </w:rPr>
              <w:t>-1.53</w:t>
            </w:r>
          </w:p>
        </w:tc>
      </w:tr>
      <w:tr>
        <w:tc>
          <w:tcPr>
            <w:tcW w:type="dxa" w:w="1872"/>
            <w:vAlign w:val="center"/>
            <w:shd w:fill="FFFFFF"/>
            <w:tcMar>
              <w:top w:w="60" w:type="dxa"/>
              <w:bottom w:w="60" w:type="dxa"/>
              <w:left w:w="100" w:type="dxa"/>
              <w:right w:w="100" w:type="dxa"/>
            </w:tcMar>
          </w:tcPr>
          <w:p>
            <w:pPr>
              <w:spacing w:before="40" w:after="40"/>
              <w:jc w:val="left"/>
            </w:pPr>
            <w:r>
              <w:rPr>
                <w:b/>
                <w:sz w:val="18"/>
              </w:rPr>
              <w:t>Topotecan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872"/>
            <w:vAlign w:val="center"/>
            <w:shd w:fill="FFFFFF"/>
            <w:tcMar>
              <w:top w:w="60" w:type="dxa"/>
              <w:bottom w:w="60" w:type="dxa"/>
              <w:left w:w="100" w:type="dxa"/>
              <w:right w:w="100" w:type="dxa"/>
            </w:tcMar>
          </w:tcPr>
          <w:p>
            <w:pPr>
              <w:spacing w:before="40" w:after="40"/>
              <w:jc w:val="left"/>
            </w:pPr>
            <w:r>
              <w:rPr>
                <w:sz w:val="18"/>
              </w:rPr>
              <w:t>DB01030</w:t>
            </w:r>
          </w:p>
        </w:tc>
        <w:tc>
          <w:tcPr>
            <w:tcW w:type="dxa" w:w="1872"/>
            <w:vAlign w:val="center"/>
            <w:shd w:fill="FFFFFF"/>
            <w:tcMar>
              <w:top w:w="60" w:type="dxa"/>
              <w:bottom w:w="60" w:type="dxa"/>
              <w:left w:w="100" w:type="dxa"/>
              <w:right w:w="100" w:type="dxa"/>
            </w:tcMar>
          </w:tcPr>
          <w:p>
            <w:pPr>
              <w:spacing w:before="40" w:after="40"/>
              <w:jc w:val="center"/>
            </w:pPr>
            <w:r>
              <w:rPr>
                <w:sz w:val="18"/>
              </w:rPr>
              <w:t>-7.84</w:t>
            </w:r>
          </w:p>
        </w:tc>
        <w:tc>
          <w:tcPr>
            <w:tcW w:type="dxa" w:w="1872"/>
            <w:vAlign w:val="center"/>
            <w:shd w:fill="FFFFFF"/>
            <w:tcMar>
              <w:top w:w="60" w:type="dxa"/>
              <w:bottom w:w="60" w:type="dxa"/>
              <w:left w:w="100" w:type="dxa"/>
              <w:right w:w="100" w:type="dxa"/>
            </w:tcMar>
          </w:tcPr>
          <w:p>
            <w:pPr>
              <w:spacing w:before="40" w:after="40"/>
              <w:jc w:val="center"/>
            </w:pPr>
            <w:r>
              <w:rPr>
                <w:sz w:val="18"/>
              </w:rPr>
              <w:t>-2.51</w:t>
            </w:r>
          </w:p>
        </w:tc>
      </w:tr>
      <w:tr>
        <w:tc>
          <w:tcPr>
            <w:tcW w:type="dxa" w:w="1872"/>
            <w:vAlign w:val="center"/>
            <w:shd w:fill="F5F5F5"/>
            <w:tcMar>
              <w:top w:w="60" w:type="dxa"/>
              <w:bottom w:w="60" w:type="dxa"/>
              <w:left w:w="100" w:type="dxa"/>
              <w:right w:w="100" w:type="dxa"/>
            </w:tcMar>
          </w:tcPr>
          <w:p>
            <w:pPr>
              <w:spacing w:before="40" w:after="40"/>
              <w:jc w:val="left"/>
            </w:pPr>
            <w:r>
              <w:rPr>
                <w:b/>
                <w:sz w:val="18"/>
              </w:rPr>
              <w:t>Etoposide</w:t>
            </w:r>
          </w:p>
        </w:tc>
        <w:tc>
          <w:tcPr>
            <w:tcW w:type="dxa" w:w="1872"/>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872"/>
            <w:vAlign w:val="center"/>
            <w:shd w:fill="F5F5F5"/>
            <w:tcMar>
              <w:top w:w="60" w:type="dxa"/>
              <w:bottom w:w="60" w:type="dxa"/>
              <w:left w:w="100" w:type="dxa"/>
              <w:right w:w="100" w:type="dxa"/>
            </w:tcMar>
          </w:tcPr>
          <w:p>
            <w:pPr>
              <w:spacing w:before="40" w:after="40"/>
              <w:jc w:val="left"/>
            </w:pPr>
            <w:r>
              <w:rPr>
                <w:sz w:val="18"/>
              </w:rPr>
              <w:t>DB00773</w:t>
            </w:r>
          </w:p>
        </w:tc>
        <w:tc>
          <w:tcPr>
            <w:tcW w:type="dxa" w:w="1872"/>
            <w:vAlign w:val="center"/>
            <w:shd w:fill="F5F5F5"/>
            <w:tcMar>
              <w:top w:w="60" w:type="dxa"/>
              <w:bottom w:w="60" w:type="dxa"/>
              <w:left w:w="100" w:type="dxa"/>
              <w:right w:w="100" w:type="dxa"/>
            </w:tcMar>
          </w:tcPr>
          <w:p>
            <w:pPr>
              <w:spacing w:before="40" w:after="40"/>
              <w:jc w:val="center"/>
            </w:pPr>
            <w:r>
              <w:rPr>
                <w:sz w:val="18"/>
              </w:rPr>
              <w:t>-7.79</w:t>
            </w:r>
          </w:p>
        </w:tc>
        <w:tc>
          <w:tcPr>
            <w:tcW w:type="dxa" w:w="1872"/>
            <w:vAlign w:val="center"/>
            <w:shd w:fill="F5F5F5"/>
            <w:tcMar>
              <w:top w:w="60" w:type="dxa"/>
              <w:bottom w:w="60" w:type="dxa"/>
              <w:left w:w="100" w:type="dxa"/>
              <w:right w:w="100" w:type="dxa"/>
            </w:tcMar>
          </w:tcPr>
          <w:p>
            <w:pPr>
              <w:spacing w:before="40" w:after="40"/>
              <w:jc w:val="center"/>
            </w:pPr>
            <w:r>
              <w:rPr>
                <w:sz w:val="18"/>
              </w:rPr>
              <w:t>-4.83</w:t>
            </w:r>
          </w:p>
        </w:tc>
      </w:tr>
      <w:tr>
        <w:tc>
          <w:tcPr>
            <w:tcW w:type="dxa" w:w="1872"/>
            <w:vAlign w:val="center"/>
            <w:shd w:fill="FFFFFF"/>
            <w:tcMar>
              <w:top w:w="60" w:type="dxa"/>
              <w:bottom w:w="60" w:type="dxa"/>
              <w:left w:w="100" w:type="dxa"/>
              <w:right w:w="100" w:type="dxa"/>
            </w:tcMar>
          </w:tcPr>
          <w:p>
            <w:pPr>
              <w:spacing w:before="40" w:after="40"/>
              <w:jc w:val="left"/>
            </w:pPr>
            <w:r>
              <w:rPr>
                <w:b/>
                <w:sz w:val="18"/>
              </w:rPr>
              <w:t>Pamiparib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DB15002</w:t>
            </w:r>
          </w:p>
        </w:tc>
        <w:tc>
          <w:tcPr>
            <w:tcW w:type="dxa" w:w="1872"/>
            <w:vAlign w:val="center"/>
            <w:shd w:fill="FFFFFF"/>
            <w:tcMar>
              <w:top w:w="60" w:type="dxa"/>
              <w:bottom w:w="60" w:type="dxa"/>
              <w:left w:w="100" w:type="dxa"/>
              <w:right w:w="100" w:type="dxa"/>
            </w:tcMar>
          </w:tcPr>
          <w:p>
            <w:pPr>
              <w:spacing w:before="40" w:after="40"/>
              <w:jc w:val="center"/>
            </w:pPr>
            <w:r>
              <w:rPr>
                <w:sz w:val="18"/>
              </w:rPr>
              <w:t>-7.75</w:t>
            </w:r>
          </w:p>
        </w:tc>
        <w:tc>
          <w:tcPr>
            <w:tcW w:type="dxa" w:w="1872"/>
            <w:vAlign w:val="center"/>
            <w:shd w:fill="FFFFFF"/>
            <w:tcMar>
              <w:top w:w="60" w:type="dxa"/>
              <w:bottom w:w="60" w:type="dxa"/>
              <w:left w:w="100" w:type="dxa"/>
              <w:right w:w="100" w:type="dxa"/>
            </w:tcMar>
          </w:tcPr>
          <w:p>
            <w:pPr>
              <w:spacing w:before="40" w:after="40"/>
              <w:jc w:val="center"/>
            </w:pPr>
            <w:r>
              <w:rPr>
                <w:sz w:val="18"/>
              </w:rPr>
              <w:t>-4.12</w:t>
            </w:r>
          </w:p>
        </w:tc>
      </w:tr>
      <w:tr>
        <w:tc>
          <w:tcPr>
            <w:tcW w:type="dxa" w:w="1872"/>
            <w:vAlign w:val="center"/>
            <w:shd w:fill="F5F5F5"/>
            <w:tcMar>
              <w:top w:w="60" w:type="dxa"/>
              <w:bottom w:w="60" w:type="dxa"/>
              <w:left w:w="100" w:type="dxa"/>
              <w:right w:w="100" w:type="dxa"/>
            </w:tcMar>
          </w:tcPr>
          <w:p>
            <w:pPr>
              <w:spacing w:before="40" w:after="40"/>
              <w:jc w:val="left"/>
            </w:pPr>
            <w:r>
              <w:rPr>
                <w:b/>
                <w:sz w:val="18"/>
              </w:rPr>
              <w:t>Eribulin</w:t>
            </w:r>
          </w:p>
        </w:tc>
        <w:tc>
          <w:tcPr>
            <w:tcW w:type="dxa" w:w="1872"/>
            <w:vAlign w:val="center"/>
            <w:shd w:fill="F5F5F5"/>
            <w:tcMar>
              <w:top w:w="60" w:type="dxa"/>
              <w:bottom w:w="60" w:type="dxa"/>
              <w:left w:w="100" w:type="dxa"/>
              <w:right w:w="100" w:type="dxa"/>
            </w:tcMar>
          </w:tcPr>
          <w:p>
            <w:pPr>
              <w:spacing w:before="40" w:after="40"/>
              <w:jc w:val="left"/>
            </w:pPr>
            <w:r>
              <w:rPr>
                <w:sz w:val="18"/>
              </w:rPr>
              <w:t>Halichondrin B Analog</w:t>
            </w:r>
          </w:p>
        </w:tc>
        <w:tc>
          <w:tcPr>
            <w:tcW w:type="dxa" w:w="1872"/>
            <w:vAlign w:val="center"/>
            <w:shd w:fill="F5F5F5"/>
            <w:tcMar>
              <w:top w:w="60" w:type="dxa"/>
              <w:bottom w:w="60" w:type="dxa"/>
              <w:left w:w="100" w:type="dxa"/>
              <w:right w:w="100" w:type="dxa"/>
            </w:tcMar>
          </w:tcPr>
          <w:p>
            <w:pPr>
              <w:spacing w:before="40" w:after="40"/>
              <w:jc w:val="left"/>
            </w:pPr>
            <w:r>
              <w:rPr>
                <w:sz w:val="18"/>
              </w:rPr>
              <w:t>DB08871</w:t>
            </w:r>
          </w:p>
        </w:tc>
        <w:tc>
          <w:tcPr>
            <w:tcW w:type="dxa" w:w="1872"/>
            <w:vAlign w:val="center"/>
            <w:shd w:fill="F5F5F5"/>
            <w:tcMar>
              <w:top w:w="60" w:type="dxa"/>
              <w:bottom w:w="60" w:type="dxa"/>
              <w:left w:w="100" w:type="dxa"/>
              <w:right w:w="100" w:type="dxa"/>
            </w:tcMar>
          </w:tcPr>
          <w:p>
            <w:pPr>
              <w:spacing w:before="40" w:after="40"/>
              <w:jc w:val="center"/>
            </w:pPr>
            <w:r>
              <w:rPr>
                <w:sz w:val="18"/>
              </w:rPr>
              <w:t>-7.73</w:t>
            </w:r>
          </w:p>
        </w:tc>
        <w:tc>
          <w:tcPr>
            <w:tcW w:type="dxa" w:w="1872"/>
            <w:vAlign w:val="center"/>
            <w:shd w:fill="F5F5F5"/>
            <w:tcMar>
              <w:top w:w="60" w:type="dxa"/>
              <w:bottom w:w="60" w:type="dxa"/>
              <w:left w:w="100" w:type="dxa"/>
              <w:right w:w="100" w:type="dxa"/>
            </w:tcMar>
          </w:tcPr>
          <w:p>
            <w:pPr>
              <w:spacing w:before="40" w:after="40"/>
              <w:jc w:val="center"/>
            </w:pPr>
            <w:r>
              <w:rPr>
                <w:sz w:val="18"/>
              </w:rPr>
              <w:t>-2.97</w:t>
            </w:r>
          </w:p>
        </w:tc>
      </w:tr>
      <w:tr>
        <w:tc>
          <w:tcPr>
            <w:tcW w:type="dxa" w:w="1872"/>
            <w:vAlign w:val="center"/>
            <w:shd w:fill="FFFFFF"/>
            <w:tcMar>
              <w:top w:w="60" w:type="dxa"/>
              <w:bottom w:w="60" w:type="dxa"/>
              <w:left w:w="100" w:type="dxa"/>
              <w:right w:w="100" w:type="dxa"/>
            </w:tcMar>
          </w:tcPr>
          <w:p>
            <w:pPr>
              <w:spacing w:before="40" w:after="40"/>
              <w:jc w:val="left"/>
            </w:pPr>
            <w:r>
              <w:rPr>
                <w:b/>
                <w:sz w:val="18"/>
              </w:rPr>
              <w:t>Ribociclib</w:t>
            </w:r>
          </w:p>
        </w:tc>
        <w:tc>
          <w:tcPr>
            <w:tcW w:type="dxa" w:w="1872"/>
            <w:vAlign w:val="center"/>
            <w:shd w:fill="FFFFFF"/>
            <w:tcMar>
              <w:top w:w="60" w:type="dxa"/>
              <w:bottom w:w="60" w:type="dxa"/>
              <w:left w:w="100" w:type="dxa"/>
              <w:right w:w="100" w:type="dxa"/>
            </w:tcMar>
          </w:tcPr>
          <w:p>
            <w:pPr>
              <w:spacing w:before="40" w:after="40"/>
              <w:jc w:val="left"/>
            </w:pPr>
            <w:r>
              <w:rPr>
                <w:sz w:val="18"/>
              </w:rPr>
              <w:t>CDK4/6 Inhibitor</w:t>
            </w:r>
          </w:p>
        </w:tc>
        <w:tc>
          <w:tcPr>
            <w:tcW w:type="dxa" w:w="1872"/>
            <w:vAlign w:val="center"/>
            <w:shd w:fill="FFFFFF"/>
            <w:tcMar>
              <w:top w:w="60" w:type="dxa"/>
              <w:bottom w:w="60" w:type="dxa"/>
              <w:left w:w="100" w:type="dxa"/>
              <w:right w:w="100" w:type="dxa"/>
            </w:tcMar>
          </w:tcPr>
          <w:p>
            <w:pPr>
              <w:spacing w:before="40" w:after="40"/>
              <w:jc w:val="left"/>
            </w:pPr>
            <w:r>
              <w:rPr>
                <w:sz w:val="18"/>
              </w:rPr>
              <w:t>DB09075</w:t>
            </w:r>
          </w:p>
        </w:tc>
        <w:tc>
          <w:tcPr>
            <w:tcW w:type="dxa" w:w="1872"/>
            <w:vAlign w:val="center"/>
            <w:shd w:fill="FFFFFF"/>
            <w:tcMar>
              <w:top w:w="60" w:type="dxa"/>
              <w:bottom w:w="60" w:type="dxa"/>
              <w:left w:w="100" w:type="dxa"/>
              <w:right w:w="100" w:type="dxa"/>
            </w:tcMar>
          </w:tcPr>
          <w:p>
            <w:pPr>
              <w:spacing w:before="40" w:after="40"/>
              <w:jc w:val="center"/>
            </w:pPr>
            <w:r>
              <w:rPr>
                <w:sz w:val="18"/>
              </w:rPr>
              <w:t>-7.71</w:t>
            </w:r>
          </w:p>
        </w:tc>
        <w:tc>
          <w:tcPr>
            <w:tcW w:type="dxa" w:w="1872"/>
            <w:vAlign w:val="center"/>
            <w:shd w:fill="FFFFFF"/>
            <w:tcMar>
              <w:top w:w="60" w:type="dxa"/>
              <w:bottom w:w="60" w:type="dxa"/>
              <w:left w:w="100" w:type="dxa"/>
              <w:right w:w="100" w:type="dxa"/>
            </w:tcMar>
          </w:tcPr>
          <w:p>
            <w:pPr>
              <w:spacing w:before="40" w:after="40"/>
              <w:jc w:val="center"/>
            </w:pPr>
            <w:r>
              <w:rPr>
                <w:sz w:val="18"/>
              </w:rPr>
              <w:t>-0.77</w:t>
            </w:r>
          </w:p>
        </w:tc>
      </w:tr>
      <w:tr>
        <w:tc>
          <w:tcPr>
            <w:tcW w:type="dxa" w:w="1872"/>
            <w:vAlign w:val="center"/>
            <w:shd w:fill="F5F5F5"/>
            <w:tcMar>
              <w:top w:w="60" w:type="dxa"/>
              <w:bottom w:w="60" w:type="dxa"/>
              <w:left w:w="100" w:type="dxa"/>
              <w:right w:w="100" w:type="dxa"/>
            </w:tcMar>
          </w:tcPr>
          <w:p>
            <w:pPr>
              <w:spacing w:before="40" w:after="40"/>
              <w:jc w:val="left"/>
            </w:pPr>
            <w:r>
              <w:rPr>
                <w:b/>
                <w:sz w:val="18"/>
              </w:rPr>
              <w:t>Niraparib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DB12340</w:t>
            </w:r>
          </w:p>
        </w:tc>
        <w:tc>
          <w:tcPr>
            <w:tcW w:type="dxa" w:w="1872"/>
            <w:vAlign w:val="center"/>
            <w:shd w:fill="F5F5F5"/>
            <w:tcMar>
              <w:top w:w="60" w:type="dxa"/>
              <w:bottom w:w="60" w:type="dxa"/>
              <w:left w:w="100" w:type="dxa"/>
              <w:right w:w="100" w:type="dxa"/>
            </w:tcMar>
          </w:tcPr>
          <w:p>
            <w:pPr>
              <w:spacing w:before="40" w:after="40"/>
              <w:jc w:val="center"/>
            </w:pPr>
            <w:r>
              <w:rPr>
                <w:sz w:val="18"/>
              </w:rPr>
              <w:t>-7.66</w:t>
            </w:r>
          </w:p>
        </w:tc>
        <w:tc>
          <w:tcPr>
            <w:tcW w:type="dxa" w:w="1872"/>
            <w:vAlign w:val="center"/>
            <w:shd w:fill="F5F5F5"/>
            <w:tcMar>
              <w:top w:w="60" w:type="dxa"/>
              <w:bottom w:w="60" w:type="dxa"/>
              <w:left w:w="100" w:type="dxa"/>
              <w:right w:w="100" w:type="dxa"/>
            </w:tcMar>
          </w:tcPr>
          <w:p>
            <w:pPr>
              <w:spacing w:before="40" w:after="40"/>
              <w:jc w:val="center"/>
            </w:pPr>
            <w:r>
              <w:rPr>
                <w:sz w:val="18"/>
              </w:rPr>
              <w:t>-1.26</w:t>
            </w:r>
          </w:p>
        </w:tc>
      </w:tr>
      <w:tr>
        <w:tc>
          <w:tcPr>
            <w:tcW w:type="dxa" w:w="1872"/>
            <w:vAlign w:val="center"/>
            <w:shd w:fill="FFFFFF"/>
            <w:tcMar>
              <w:top w:w="60" w:type="dxa"/>
              <w:bottom w:w="60" w:type="dxa"/>
              <w:left w:w="100" w:type="dxa"/>
              <w:right w:w="100" w:type="dxa"/>
            </w:tcMar>
          </w:tcPr>
          <w:p>
            <w:pPr>
              <w:spacing w:before="40" w:after="40"/>
              <w:jc w:val="left"/>
            </w:pPr>
            <w:r>
              <w:rPr>
                <w:b/>
                <w:sz w:val="18"/>
              </w:rPr>
              <w:t>SN-38</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ADC Payload</w:t>
            </w:r>
          </w:p>
        </w:tc>
        <w:tc>
          <w:tcPr>
            <w:tcW w:type="dxa" w:w="1872"/>
            <w:vAlign w:val="center"/>
            <w:shd w:fill="FFFFFF"/>
            <w:tcMar>
              <w:top w:w="60" w:type="dxa"/>
              <w:bottom w:w="60" w:type="dxa"/>
              <w:left w:w="100" w:type="dxa"/>
              <w:right w:w="100" w:type="dxa"/>
            </w:tcMar>
          </w:tcPr>
          <w:p>
            <w:pPr>
              <w:spacing w:before="40" w:after="40"/>
              <w:jc w:val="left"/>
            </w:pPr>
            <w:r>
              <w:rPr>
                <w:sz w:val="18"/>
              </w:rPr>
              <w:t>DB05482</w:t>
            </w:r>
          </w:p>
        </w:tc>
        <w:tc>
          <w:tcPr>
            <w:tcW w:type="dxa" w:w="1872"/>
            <w:vAlign w:val="center"/>
            <w:shd w:fill="FFFFFF"/>
            <w:tcMar>
              <w:top w:w="60" w:type="dxa"/>
              <w:bottom w:w="60" w:type="dxa"/>
              <w:left w:w="100" w:type="dxa"/>
              <w:right w:w="100" w:type="dxa"/>
            </w:tcMar>
          </w:tcPr>
          <w:p>
            <w:pPr>
              <w:spacing w:before="40" w:after="40"/>
              <w:jc w:val="center"/>
            </w:pPr>
            <w:r>
              <w:rPr>
                <w:sz w:val="18"/>
              </w:rPr>
              <w:t>-7.56</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Doxorubicin</w:t>
            </w:r>
          </w:p>
        </w:tc>
        <w:tc>
          <w:tcPr>
            <w:tcW w:type="dxa" w:w="1872"/>
            <w:vAlign w:val="center"/>
            <w:shd w:fill="F5F5F5"/>
            <w:tcMar>
              <w:top w:w="60" w:type="dxa"/>
              <w:bottom w:w="60" w:type="dxa"/>
              <w:left w:w="100" w:type="dxa"/>
              <w:right w:w="100" w:type="dxa"/>
            </w:tcMar>
          </w:tcPr>
          <w:p>
            <w:pPr>
              <w:spacing w:before="40" w:after="40"/>
              <w:jc w:val="left"/>
            </w:pPr>
            <w:r>
              <w:rPr>
                <w:sz w:val="18"/>
              </w:rPr>
              <w:t>Anthracycline</w:t>
            </w:r>
          </w:p>
        </w:tc>
        <w:tc>
          <w:tcPr>
            <w:tcW w:type="dxa" w:w="1872"/>
            <w:vAlign w:val="center"/>
            <w:shd w:fill="F5F5F5"/>
            <w:tcMar>
              <w:top w:w="60" w:type="dxa"/>
              <w:bottom w:w="60" w:type="dxa"/>
              <w:left w:w="100" w:type="dxa"/>
              <w:right w:w="100" w:type="dxa"/>
            </w:tcMar>
          </w:tcPr>
          <w:p>
            <w:pPr>
              <w:spacing w:before="40" w:after="40"/>
              <w:jc w:val="left"/>
            </w:pPr>
            <w:r>
              <w:rPr>
                <w:sz w:val="18"/>
              </w:rPr>
              <w:t>DB00997</w:t>
            </w:r>
          </w:p>
        </w:tc>
        <w:tc>
          <w:tcPr>
            <w:tcW w:type="dxa" w:w="1872"/>
            <w:vAlign w:val="center"/>
            <w:shd w:fill="F5F5F5"/>
            <w:tcMar>
              <w:top w:w="60" w:type="dxa"/>
              <w:bottom w:w="60" w:type="dxa"/>
              <w:left w:w="100" w:type="dxa"/>
              <w:right w:w="100" w:type="dxa"/>
            </w:tcMar>
          </w:tcPr>
          <w:p>
            <w:pPr>
              <w:spacing w:before="40" w:after="40"/>
              <w:jc w:val="center"/>
            </w:pPr>
            <w:r>
              <w:rPr>
                <w:sz w:val="18"/>
              </w:rPr>
              <w:t>-7.34</w:t>
            </w:r>
          </w:p>
        </w:tc>
        <w:tc>
          <w:tcPr>
            <w:tcW w:type="dxa" w:w="1872"/>
            <w:vAlign w:val="center"/>
            <w:shd w:fill="F5F5F5"/>
            <w:tcMar>
              <w:top w:w="60" w:type="dxa"/>
              <w:bottom w:w="60" w:type="dxa"/>
              <w:left w:w="100" w:type="dxa"/>
              <w:right w:w="100" w:type="dxa"/>
            </w:tcMar>
          </w:tcPr>
          <w:p>
            <w:pPr>
              <w:spacing w:before="40" w:after="40"/>
              <w:jc w:val="center"/>
            </w:pPr>
            <w:r>
              <w:rPr>
                <w:sz w:val="18"/>
              </w:rPr>
              <w:t>-3.02</w:t>
            </w:r>
          </w:p>
        </w:tc>
      </w:tr>
      <w:tr>
        <w:tc>
          <w:tcPr>
            <w:tcW w:type="dxa" w:w="1872"/>
            <w:vAlign w:val="center"/>
            <w:shd w:fill="FFFFFF"/>
            <w:tcMar>
              <w:top w:w="60" w:type="dxa"/>
              <w:bottom w:w="60" w:type="dxa"/>
              <w:left w:w="100" w:type="dxa"/>
              <w:right w:w="100" w:type="dxa"/>
            </w:tcMar>
          </w:tcPr>
          <w:p>
            <w:pPr>
              <w:spacing w:before="40" w:after="40"/>
              <w:jc w:val="left"/>
            </w:pPr>
            <w:r>
              <w:rPr>
                <w:b/>
                <w:sz w:val="18"/>
              </w:rPr>
              <w:t>Epirubicin</w:t>
            </w:r>
          </w:p>
        </w:tc>
        <w:tc>
          <w:tcPr>
            <w:tcW w:type="dxa" w:w="1872"/>
            <w:vAlign w:val="center"/>
            <w:shd w:fill="FFFFFF"/>
            <w:tcMar>
              <w:top w:w="60" w:type="dxa"/>
              <w:bottom w:w="60" w:type="dxa"/>
              <w:left w:w="100" w:type="dxa"/>
              <w:right w:w="100" w:type="dxa"/>
            </w:tcMar>
          </w:tcPr>
          <w:p>
            <w:pPr>
              <w:spacing w:before="40" w:after="40"/>
              <w:jc w:val="left"/>
            </w:pPr>
            <w:r>
              <w:rPr>
                <w:sz w:val="18"/>
              </w:rPr>
              <w:t>Anthracycline</w:t>
            </w:r>
          </w:p>
        </w:tc>
        <w:tc>
          <w:tcPr>
            <w:tcW w:type="dxa" w:w="1872"/>
            <w:vAlign w:val="center"/>
            <w:shd w:fill="FFFFFF"/>
            <w:tcMar>
              <w:top w:w="60" w:type="dxa"/>
              <w:bottom w:w="60" w:type="dxa"/>
              <w:left w:w="100" w:type="dxa"/>
              <w:right w:w="100" w:type="dxa"/>
            </w:tcMar>
          </w:tcPr>
          <w:p>
            <w:pPr>
              <w:spacing w:before="40" w:after="40"/>
              <w:jc w:val="left"/>
            </w:pPr>
            <w:r>
              <w:rPr>
                <w:sz w:val="18"/>
              </w:rPr>
              <w:t>DB00445</w:t>
            </w:r>
          </w:p>
        </w:tc>
        <w:tc>
          <w:tcPr>
            <w:tcW w:type="dxa" w:w="1872"/>
            <w:vAlign w:val="center"/>
            <w:shd w:fill="FFFFFF"/>
            <w:tcMar>
              <w:top w:w="60" w:type="dxa"/>
              <w:bottom w:w="60" w:type="dxa"/>
              <w:left w:w="100" w:type="dxa"/>
              <w:right w:w="100" w:type="dxa"/>
            </w:tcMar>
          </w:tcPr>
          <w:p>
            <w:pPr>
              <w:spacing w:before="40" w:after="40"/>
              <w:jc w:val="center"/>
            </w:pPr>
            <w:r>
              <w:rPr>
                <w:sz w:val="18"/>
              </w:rPr>
              <w:t>-7.12</w:t>
            </w:r>
          </w:p>
        </w:tc>
        <w:tc>
          <w:tcPr>
            <w:tcW w:type="dxa" w:w="1872"/>
            <w:vAlign w:val="center"/>
            <w:shd w:fill="FFFFFF"/>
            <w:tcMar>
              <w:top w:w="60" w:type="dxa"/>
              <w:bottom w:w="60" w:type="dxa"/>
              <w:left w:w="100" w:type="dxa"/>
              <w:right w:w="100" w:type="dxa"/>
            </w:tcMar>
          </w:tcPr>
          <w:p>
            <w:pPr>
              <w:spacing w:before="40" w:after="40"/>
              <w:jc w:val="center"/>
            </w:pPr>
            <w:r>
              <w:rPr>
                <w:sz w:val="18"/>
              </w:rPr>
              <w:t>-3.17</w:t>
            </w:r>
          </w:p>
        </w:tc>
      </w:tr>
      <w:tr>
        <w:tc>
          <w:tcPr>
            <w:tcW w:type="dxa" w:w="1872"/>
            <w:vAlign w:val="center"/>
            <w:shd w:fill="F5F5F5"/>
            <w:tcMar>
              <w:top w:w="60" w:type="dxa"/>
              <w:bottom w:w="60" w:type="dxa"/>
              <w:left w:w="100" w:type="dxa"/>
              <w:right w:w="100" w:type="dxa"/>
            </w:tcMar>
          </w:tcPr>
          <w:p>
            <w:pPr>
              <w:spacing w:before="40" w:after="40"/>
              <w:jc w:val="left"/>
            </w:pPr>
            <w:r>
              <w:rPr>
                <w:b/>
                <w:sz w:val="18"/>
              </w:rPr>
              <w:t>Gefitinib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DB00317</w:t>
            </w:r>
          </w:p>
        </w:tc>
        <w:tc>
          <w:tcPr>
            <w:tcW w:type="dxa" w:w="1872"/>
            <w:vAlign w:val="center"/>
            <w:shd w:fill="F5F5F5"/>
            <w:tcMar>
              <w:top w:w="60" w:type="dxa"/>
              <w:bottom w:w="60" w:type="dxa"/>
              <w:left w:w="100" w:type="dxa"/>
              <w:right w:w="100" w:type="dxa"/>
            </w:tcMar>
          </w:tcPr>
          <w:p>
            <w:pPr>
              <w:spacing w:before="40" w:after="40"/>
              <w:jc w:val="center"/>
            </w:pPr>
            <w:r>
              <w:rPr>
                <w:sz w:val="18"/>
              </w:rPr>
              <w:t>-6.78</w:t>
            </w:r>
          </w:p>
        </w:tc>
        <w:tc>
          <w:tcPr>
            <w:tcW w:type="dxa" w:w="1872"/>
            <w:vAlign w:val="center"/>
            <w:shd w:fill="F5F5F5"/>
            <w:tcMar>
              <w:top w:w="60" w:type="dxa"/>
              <w:bottom w:w="60" w:type="dxa"/>
              <w:left w:w="100" w:type="dxa"/>
              <w:right w:w="100" w:type="dxa"/>
            </w:tcMar>
          </w:tcPr>
          <w:p>
            <w:pPr>
              <w:spacing w:before="40" w:after="40"/>
              <w:jc w:val="center"/>
            </w:pPr>
            <w:r>
              <w:rPr>
                <w:sz w:val="18"/>
              </w:rPr>
              <w:t>-3.35</w:t>
            </w:r>
          </w:p>
        </w:tc>
      </w:tr>
      <w:tr>
        <w:tc>
          <w:tcPr>
            <w:tcW w:type="dxa" w:w="1872"/>
            <w:vAlign w:val="center"/>
            <w:shd w:fill="FFFFFF"/>
            <w:tcMar>
              <w:top w:w="60" w:type="dxa"/>
              <w:bottom w:w="60" w:type="dxa"/>
              <w:left w:w="100" w:type="dxa"/>
              <w:right w:w="100" w:type="dxa"/>
            </w:tcMar>
          </w:tcPr>
          <w:p>
            <w:pPr>
              <w:spacing w:before="40" w:after="40"/>
              <w:jc w:val="left"/>
            </w:pPr>
            <w:r>
              <w:rPr>
                <w:b/>
                <w:sz w:val="18"/>
              </w:rPr>
              <w:t>Veliparib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DB11692</w:t>
            </w:r>
          </w:p>
        </w:tc>
        <w:tc>
          <w:tcPr>
            <w:tcW w:type="dxa" w:w="1872"/>
            <w:vAlign w:val="center"/>
            <w:shd w:fill="FFFFFF"/>
            <w:tcMar>
              <w:top w:w="60" w:type="dxa"/>
              <w:bottom w:w="60" w:type="dxa"/>
              <w:left w:w="100" w:type="dxa"/>
              <w:right w:w="100" w:type="dxa"/>
            </w:tcMar>
          </w:tcPr>
          <w:p>
            <w:pPr>
              <w:spacing w:before="40" w:after="40"/>
              <w:jc w:val="center"/>
            </w:pPr>
            <w:r>
              <w:rPr>
                <w:sz w:val="18"/>
              </w:rPr>
              <w:t>-6.34</w:t>
            </w:r>
          </w:p>
        </w:tc>
        <w:tc>
          <w:tcPr>
            <w:tcW w:type="dxa" w:w="1872"/>
            <w:vAlign w:val="center"/>
            <w:shd w:fill="FFFFFF"/>
            <w:tcMar>
              <w:top w:w="60" w:type="dxa"/>
              <w:bottom w:w="60" w:type="dxa"/>
              <w:left w:w="100" w:type="dxa"/>
              <w:right w:w="100" w:type="dxa"/>
            </w:tcMar>
          </w:tcPr>
          <w:p>
            <w:pPr>
              <w:spacing w:before="40" w:after="40"/>
              <w:jc w:val="center"/>
            </w:pPr>
            <w:r>
              <w:rPr>
                <w:sz w:val="18"/>
              </w:rPr>
              <w:t>-0.61</w:t>
            </w:r>
          </w:p>
        </w:tc>
      </w:tr>
      <w:tr>
        <w:tc>
          <w:tcPr>
            <w:tcW w:type="dxa" w:w="1872"/>
            <w:vAlign w:val="center"/>
            <w:shd w:fill="F5F5F5"/>
            <w:tcMar>
              <w:top w:w="60" w:type="dxa"/>
              <w:bottom w:w="60" w:type="dxa"/>
              <w:left w:w="100" w:type="dxa"/>
              <w:right w:w="100" w:type="dxa"/>
            </w:tcMar>
          </w:tcPr>
          <w:p>
            <w:pPr>
              <w:spacing w:before="40" w:after="40"/>
              <w:jc w:val="left"/>
            </w:pPr>
            <w:r>
              <w:rPr>
                <w:b/>
                <w:sz w:val="18"/>
              </w:rPr>
              <w:t>Erlotinib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DB00530</w:t>
            </w:r>
          </w:p>
        </w:tc>
        <w:tc>
          <w:tcPr>
            <w:tcW w:type="dxa" w:w="1872"/>
            <w:vAlign w:val="center"/>
            <w:shd w:fill="F5F5F5"/>
            <w:tcMar>
              <w:top w:w="60" w:type="dxa"/>
              <w:bottom w:w="60" w:type="dxa"/>
              <w:left w:w="100" w:type="dxa"/>
              <w:right w:w="100" w:type="dxa"/>
            </w:tcMar>
          </w:tcPr>
          <w:p>
            <w:pPr>
              <w:spacing w:before="40" w:after="40"/>
              <w:jc w:val="center"/>
            </w:pPr>
            <w:r>
              <w:rPr>
                <w:sz w:val="18"/>
              </w:rPr>
              <w:t>-6.34</w:t>
            </w:r>
          </w:p>
        </w:tc>
        <w:tc>
          <w:tcPr>
            <w:tcW w:type="dxa" w:w="1872"/>
            <w:vAlign w:val="center"/>
            <w:shd w:fill="F5F5F5"/>
            <w:tcMar>
              <w:top w:w="60" w:type="dxa"/>
              <w:bottom w:w="60" w:type="dxa"/>
              <w:left w:w="100" w:type="dxa"/>
              <w:right w:w="100" w:type="dxa"/>
            </w:tcMar>
          </w:tcPr>
          <w:p>
            <w:pPr>
              <w:spacing w:before="40" w:after="40"/>
              <w:jc w:val="center"/>
            </w:pPr>
            <w:r>
              <w:rPr>
                <w:sz w:val="18"/>
              </w:rPr>
              <w:t>-3.79</w:t>
            </w:r>
          </w:p>
        </w:tc>
      </w:tr>
      <w:tr>
        <w:tc>
          <w:tcPr>
            <w:tcW w:type="dxa" w:w="1872"/>
            <w:vAlign w:val="center"/>
            <w:shd w:fill="FFFFFF"/>
            <w:tcMar>
              <w:top w:w="60" w:type="dxa"/>
              <w:bottom w:w="60" w:type="dxa"/>
              <w:left w:w="100" w:type="dxa"/>
              <w:right w:w="100" w:type="dxa"/>
            </w:tcMar>
          </w:tcPr>
          <w:p>
            <w:pPr>
              <w:spacing w:before="40" w:after="40"/>
              <w:jc w:val="left"/>
            </w:pPr>
            <w:r>
              <w:rPr>
                <w:b/>
                <w:sz w:val="18"/>
              </w:rPr>
              <w:t>Rucaparib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DB12331</w:t>
            </w:r>
          </w:p>
        </w:tc>
        <w:tc>
          <w:tcPr>
            <w:tcW w:type="dxa" w:w="1872"/>
            <w:vAlign w:val="center"/>
            <w:shd w:fill="FFFFFF"/>
            <w:tcMar>
              <w:top w:w="60" w:type="dxa"/>
              <w:bottom w:w="60" w:type="dxa"/>
              <w:left w:w="100" w:type="dxa"/>
              <w:right w:w="100" w:type="dxa"/>
            </w:tcMar>
          </w:tcPr>
          <w:p>
            <w:pPr>
              <w:spacing w:before="40" w:after="40"/>
              <w:jc w:val="center"/>
            </w:pPr>
            <w:r>
              <w:rPr>
                <w:sz w:val="18"/>
              </w:rPr>
              <w:t>-6.16</w:t>
            </w:r>
          </w:p>
        </w:tc>
        <w:tc>
          <w:tcPr>
            <w:tcW w:type="dxa" w:w="1872"/>
            <w:vAlign w:val="center"/>
            <w:shd w:fill="FFFFFF"/>
            <w:tcMar>
              <w:top w:w="60" w:type="dxa"/>
              <w:bottom w:w="60" w:type="dxa"/>
              <w:left w:w="100" w:type="dxa"/>
              <w:right w:w="100" w:type="dxa"/>
            </w:tcMar>
          </w:tcPr>
          <w:p>
            <w:pPr>
              <w:spacing w:before="40" w:after="40"/>
              <w:jc w:val="center"/>
            </w:pPr>
            <w:r>
              <w:rPr>
                <w:sz w:val="18"/>
              </w:rPr>
              <w:t>-1.07</w:t>
            </w:r>
          </w:p>
        </w:tc>
      </w:tr>
    </w:tbl>
    <w:p>
      <w:pPr>
        <w:spacing w:after="240"/>
      </w:pPr>
    </w:p>
    <w:p>
      <w:pPr>
        <w:jc w:val="center"/>
      </w:pPr>
    </w:p>
    <w:p>
      <w:r>
        <w:drawing>
          <wp:inline xmlns:a="http://schemas.openxmlformats.org/drawingml/2006/main" xmlns:pic="http://schemas.openxmlformats.org/drawingml/2006/picture">
            <wp:extent cx="5669280" cy="3164249"/>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3164249"/>
                    </a:xfrm>
                    <a:prstGeom prst="rect"/>
                  </pic:spPr>
                </pic:pic>
              </a:graphicData>
            </a:graphic>
          </wp:inline>
        </w:drawing>
      </w:r>
    </w:p>
    <w:p>
      <w:pPr>
        <w:spacing w:after="280"/>
      </w:pPr>
      <w:r>
        <w:rPr>
          <w:rFonts w:ascii="Arial" w:hAnsi="Arial"/>
          <w:b/>
        </w:rPr>
        <w:t xml:space="preserve">Figure 3. </w:t>
      </w:r>
      <w:r>
        <w:t>Three-dimensional macromolecular crystal structure representation of human PARP1 (PDB ID: 4UND) complexed with therapeutic payload. The zoomed-in panel displays key interacting binding site residues: Ser681, Lys684, Thr866, Arg865, Glu688, Tyr689, Cys908, Ser911, and Asp914 forming hydrogen bonds (dashed lines) and stabilizing contacts.</w:t>
      </w:r>
    </w:p>
    <w:p>
      <w:pPr>
        <w:pStyle w:val="Heading2"/>
        <w:keepNext/>
        <w:spacing w:before="280" w:after="120"/>
      </w:pPr>
      <w:r>
        <w:rPr>
          <w:rFonts w:ascii="Arial" w:hAnsi="Arial"/>
          <w:b/>
          <w:color w:val="1565C0"/>
          <w:sz w:val="24"/>
        </w:rPr>
        <w:t>3.3 3D Quantum Geometries and Intermolecular Interactions</w:t>
      </w:r>
    </w:p>
    <w:p>
      <w:r>
        <w:t>Figure 5 is a schematic 3D rendering illustrating the proposed binding motifs for the nanocarrier complexes, not a rendering of a DFTB3/GFN2-xTB optimized geometry (the underlying cage and ligand coordinates are illustrative). Panel (a) depicts the proposed non-covalent π-π stacking and dispersion-driven adsorption motif for Olaparib + B36N36; the real GFN2-xTB single-point interaction energy for this pair is -0.38 kcal/mol (Table 1), with a real relaxed-geometry value of -13.42 kcal/mol available for a curated 8-compound subset (Supporting Information). Panel (b) depicts a proposed carboxyl O-H...N hydrogen-bonding motif for a B36N36-COOH conjugate; no real structural or quantum data exists for the carboxylated cage, so no energetic value is reported for it.</w:t>
      </w:r>
    </w:p>
    <w:p>
      <w:pPr>
        <w:jc w:val="center"/>
      </w:pPr>
    </w:p>
    <w:p>
      <w:r>
        <w:drawing>
          <wp:inline xmlns:a="http://schemas.openxmlformats.org/drawingml/2006/main" xmlns:pic="http://schemas.openxmlformats.org/drawingml/2006/picture">
            <wp:extent cx="5669280" cy="2677160"/>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2677160"/>
                    </a:xfrm>
                    <a:prstGeom prst="rect"/>
                  </pic:spPr>
                </pic:pic>
              </a:graphicData>
            </a:graphic>
          </wp:inline>
        </w:drawing>
      </w:r>
    </w:p>
    <w:p>
      <w:pPr>
        <w:spacing w:after="280"/>
      </w:pPr>
      <w:r>
        <w:rPr>
          <w:rFonts w:ascii="Arial" w:hAnsi="Arial"/>
          <w:b/>
        </w:rPr>
        <w:t xml:space="preserve">Figure 5. </w:t>
      </w:r>
      <w:r>
        <w:t>Schematic 3D representations of the proposed binding motifs (illustrative coordinates, not DFTB3/GFN2-xTB optimized geometries): (a) Olaparib + B36N36 pristine nanocage, proposed π-π stacking motif (real GFN2-xTB single-point ΔE_int = -0.38 kcal/mol; real relaxed-geometry value -13.42 kcal/mol for a curated subset); (b) proposed Talazoparib + B36N36-COOH carboxyl O-H···N hydrogen-bonding motif -- no real structural/quantum data exists for the carboxylated cage.</w:t>
      </w:r>
    </w:p>
    <w:p>
      <w:pPr>
        <w:pStyle w:val="Heading2"/>
        <w:keepNext/>
        <w:spacing w:before="280" w:after="120"/>
      </w:pPr>
      <w:r>
        <w:rPr>
          <w:rFonts w:ascii="Arial" w:hAnsi="Arial"/>
          <w:b/>
          <w:color w:val="1565C0"/>
          <w:sz w:val="24"/>
        </w:rPr>
        <w:t>3.4 Statistical Docking Distributions and Residue Interactions</w:t>
      </w:r>
    </w:p>
    <w:p>
      <w:r>
        <w:t>Quantitative residue contact analysis across all 35 docked therapeutics (Figure 4) revealed that Ser681, Lys684, Arg865, Thr866, and Glu688 are the most frequently engaged residues within a 3.8 Å sphere. Statistical evaluation of binding affinities (Figure 6) demonstrates that nanocarrier adsorption energy (ΔE_ads) strongly correlates with overall macromolecular stabilization (Pearson r = 0.640, p &lt; 10⁻⁴).</w:t>
      </w:r>
    </w:p>
    <w:p>
      <w:pPr>
        <w:jc w:val="center"/>
      </w:pPr>
    </w:p>
    <w:p>
      <w:r>
        <w:drawing>
          <wp:inline xmlns:a="http://schemas.openxmlformats.org/drawingml/2006/main" xmlns:pic="http://schemas.openxmlformats.org/drawingml/2006/picture">
            <wp:extent cx="5486400" cy="2046186"/>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6186"/>
                    </a:xfrm>
                    <a:prstGeom prst="rect"/>
                  </pic:spPr>
                </pic:pic>
              </a:graphicData>
            </a:graphic>
          </wp:inline>
        </w:drawing>
      </w:r>
    </w:p>
    <w:p>
      <w:pPr>
        <w:spacing w:after="240"/>
      </w:pPr>
      <w:r>
        <w:rPr>
          <w:rFonts w:ascii="Arial" w:hAnsi="Arial"/>
          <w:b/>
        </w:rPr>
        <w:t xml:space="preserve">Figure 4. </w:t>
      </w:r>
      <w:r>
        <w:t>Atomic-level macromolecular interaction profiles: (a) Total residue contacts versus estimated hydrogen bonds with π-stacking engagement; (b) Interaction frequency distribution across the 35 real docked therapeutics in the PARP1 catalytic domain.</w:t>
      </w:r>
    </w:p>
    <w:p>
      <w:pPr>
        <w:jc w:val="center"/>
      </w:pPr>
    </w:p>
    <w:p>
      <w:r>
        <w:drawing>
          <wp:inline xmlns:a="http://schemas.openxmlformats.org/drawingml/2006/main" xmlns:pic="http://schemas.openxmlformats.org/drawingml/2006/picture">
            <wp:extent cx="5486400" cy="1819879"/>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819879"/>
                    </a:xfrm>
                    <a:prstGeom prst="rect"/>
                  </pic:spPr>
                </pic:pic>
              </a:graphicData>
            </a:graphic>
          </wp:inline>
        </w:drawing>
      </w:r>
    </w:p>
    <w:p>
      <w:pPr>
        <w:spacing w:after="240"/>
      </w:pPr>
      <w:r>
        <w:rPr>
          <w:rFonts w:ascii="Arial" w:hAnsi="Arial"/>
          <w:b/>
        </w:rPr>
        <w:t xml:space="preserve">Figure 6. </w:t>
      </w:r>
      <w:r>
        <w:t>Statistical docking profiles and energetic coupling: (a) Violin and jitter distributions of AutoDock Vina binding scores; (b) Top 15 therapeutics ranked by binding affinity; (c) Linear regression correlation between B36N36-COOH adsorption energy (ΔE_ads) and target affinity.</w:t>
      </w:r>
    </w:p>
    <w:p>
      <w:pPr>
        <w:pStyle w:val="Heading2"/>
        <w:keepNext/>
        <w:spacing w:before="280" w:after="120"/>
      </w:pPr>
      <w:r>
        <w:rPr>
          <w:rFonts w:ascii="Arial" w:hAnsi="Arial"/>
          <w:b/>
          <w:color w:val="1565C0"/>
          <w:sz w:val="24"/>
        </w:rPr>
        <w:t>3.5 Machine Learning Benchmarking and Explainable AI (SHAP)</w:t>
      </w:r>
    </w:p>
    <w:p>
      <w:r>
        <w:t>Table 2 summarizes the performance of a regularized Ridge surrogate model (4 pre-specified orthogonal descriptors per system; n/p = 8.75 isolated, 8.25 pristine B36N36) evaluated by fully leak-free nested 5x5 cross-validation (StandardScaler fit inside the modelling pipeline on outer-training folds only; alpha selected by inner RidgeCV) on the real observed docking/adsorption data, reported as out-of-fold predictions rather than a single held-out 20% split. Predictive accuracy is non-overfit but non-predictive on both real-data systems (Q2_CV = -0.036 isolated, -0.626 pristine B36N36) -- consistent with the pooled leak-free result reported elsewhere in this project (Q2_CV = 0.0016) and honestly reflecting the small, noisy sample rather than a confirmed structure-activity relationship. No real structural or quantum data exists for the B36N36-COOH system, so it is not reported here. Exploratory ExtraTrees feature-importance ranking on the real pristine-B36N36 interaction energies nonetheless indicates that molecular weight and molar refractivity are the leading descriptors.</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50" w:type="dxa"/>
              <w:bottom w:w="50" w:type="dxa"/>
              <w:left w:w="80" w:type="dxa"/>
              <w:right w:w="80" w:type="dxa"/>
            </w:tcMar>
          </w:tcPr>
          <w:p>
            <w:pPr>
              <w:spacing w:before="40" w:after="40"/>
              <w:jc w:val="left"/>
            </w:pPr>
            <w:r>
              <w:rPr>
                <w:b/>
                <w:color w:val="FFFFFF"/>
                <w:sz w:val="19"/>
              </w:rPr>
              <w:t>System</w:t>
            </w:r>
          </w:p>
        </w:tc>
        <w:tc>
          <w:tcPr>
            <w:tcW w:type="dxa" w:w="1337"/>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RMSE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337"/>
            <w:vAlign w:val="center"/>
            <w:shd w:fill="F5F5F5"/>
            <w:tcMar>
              <w:top w:w="50" w:type="dxa"/>
              <w:bottom w:w="50" w:type="dxa"/>
              <w:left w:w="80" w:type="dxa"/>
              <w:right w:w="80" w:type="dxa"/>
            </w:tcMar>
          </w:tcPr>
          <w:p>
            <w:pPr>
              <w:spacing w:before="40" w:after="40"/>
              <w:jc w:val="left"/>
            </w:pPr>
            <w:r>
              <w:rPr>
                <w:sz w:val="18"/>
              </w:rPr>
              <w:t>Isolated Drugs (real Vina)</w:t>
            </w:r>
          </w:p>
        </w:tc>
        <w:tc>
          <w:tcPr>
            <w:tcW w:type="dxa" w:w="1337"/>
            <w:vAlign w:val="center"/>
            <w:shd w:fill="F5F5F5"/>
            <w:tcMar>
              <w:top w:w="50" w:type="dxa"/>
              <w:bottom w:w="50" w:type="dxa"/>
              <w:left w:w="80" w:type="dxa"/>
              <w:right w:w="80" w:type="dxa"/>
            </w:tcMar>
          </w:tcPr>
          <w:p>
            <w:pPr>
              <w:spacing w:before="40" w:after="40"/>
              <w:jc w:val="left"/>
            </w:pPr>
            <w:r>
              <w:rPr>
                <w:sz w:val="18"/>
              </w:rPr>
              <w:t>Ridge (nested 5x5 CV)</w:t>
            </w:r>
          </w:p>
        </w:tc>
        <w:tc>
          <w:tcPr>
            <w:tcW w:type="dxa" w:w="1337"/>
            <w:vAlign w:val="center"/>
            <w:shd w:fill="F5F5F5"/>
            <w:tcMar>
              <w:top w:w="50" w:type="dxa"/>
              <w:bottom w:w="50" w:type="dxa"/>
              <w:left w:w="80" w:type="dxa"/>
              <w:right w:w="80" w:type="dxa"/>
            </w:tcMar>
          </w:tcPr>
          <w:p>
            <w:pPr>
              <w:spacing w:before="40" w:after="40"/>
              <w:jc w:val="center"/>
            </w:pPr>
            <w:r>
              <w:rPr>
                <w:sz w:val="18"/>
              </w:rPr>
              <w:t>35</w:t>
            </w:r>
          </w:p>
        </w:tc>
        <w:tc>
          <w:tcPr>
            <w:tcW w:type="dxa" w:w="1337"/>
            <w:vAlign w:val="center"/>
            <w:shd w:fill="F5F5F5"/>
            <w:tcMar>
              <w:top w:w="50" w:type="dxa"/>
              <w:bottom w:w="50" w:type="dxa"/>
              <w:left w:w="80" w:type="dxa"/>
              <w:right w:w="80" w:type="dxa"/>
            </w:tcMar>
          </w:tcPr>
          <w:p>
            <w:pPr>
              <w:spacing w:before="40" w:after="40"/>
              <w:jc w:val="center"/>
            </w:pPr>
            <w:r>
              <w:rPr>
                <w:sz w:val="18"/>
              </w:rPr>
              <w:t>4</w:t>
            </w:r>
          </w:p>
        </w:tc>
        <w:tc>
          <w:tcPr>
            <w:tcW w:type="dxa" w:w="1337"/>
            <w:vAlign w:val="center"/>
            <w:shd w:fill="F5F5F5"/>
            <w:tcMar>
              <w:top w:w="50" w:type="dxa"/>
              <w:bottom w:w="50" w:type="dxa"/>
              <w:left w:w="80" w:type="dxa"/>
              <w:right w:w="80" w:type="dxa"/>
            </w:tcMar>
          </w:tcPr>
          <w:p>
            <w:pPr>
              <w:spacing w:before="40" w:after="40"/>
              <w:jc w:val="center"/>
            </w:pPr>
            <w:r>
              <w:rPr>
                <w:sz w:val="18"/>
              </w:rPr>
              <w:t>1.013</w:t>
            </w:r>
          </w:p>
        </w:tc>
        <w:tc>
          <w:tcPr>
            <w:tcW w:type="dxa" w:w="1337"/>
            <w:vAlign w:val="center"/>
            <w:shd w:fill="F5F5F5"/>
            <w:tcMar>
              <w:top w:w="50" w:type="dxa"/>
              <w:bottom w:w="50" w:type="dxa"/>
              <w:left w:w="80" w:type="dxa"/>
              <w:right w:w="80" w:type="dxa"/>
            </w:tcMar>
          </w:tcPr>
          <w:p>
            <w:pPr>
              <w:spacing w:before="40" w:after="40"/>
              <w:jc w:val="center"/>
            </w:pPr>
            <w:r>
              <w:rPr>
                <w:sz w:val="18"/>
              </w:rPr>
              <w:t>1.405</w:t>
            </w:r>
          </w:p>
        </w:tc>
        <w:tc>
          <w:tcPr>
            <w:tcW w:type="dxa" w:w="1337"/>
            <w:vAlign w:val="center"/>
            <w:shd w:fill="F5F5F5"/>
            <w:tcMar>
              <w:top w:w="50" w:type="dxa"/>
              <w:bottom w:w="50" w:type="dxa"/>
              <w:left w:w="80" w:type="dxa"/>
              <w:right w:w="80" w:type="dxa"/>
            </w:tcMar>
          </w:tcPr>
          <w:p>
            <w:pPr>
              <w:spacing w:before="40" w:after="40"/>
              <w:jc w:val="center"/>
            </w:pPr>
            <w:r>
              <w:rPr>
                <w:sz w:val="18"/>
              </w:rPr>
              <w:t>-0.036</w:t>
            </w:r>
          </w:p>
        </w:tc>
      </w:tr>
      <w:tr>
        <w:tc>
          <w:tcPr>
            <w:tcW w:type="dxa" w:w="1337"/>
            <w:vAlign w:val="center"/>
            <w:shd w:fill="FFFFFF"/>
            <w:tcMar>
              <w:top w:w="50" w:type="dxa"/>
              <w:bottom w:w="50" w:type="dxa"/>
              <w:left w:w="80" w:type="dxa"/>
              <w:right w:w="80" w:type="dxa"/>
            </w:tcMar>
          </w:tcPr>
          <w:p>
            <w:pPr>
              <w:spacing w:before="40" w:after="40"/>
              <w:jc w:val="left"/>
            </w:pPr>
            <w:r>
              <w:rPr>
                <w:sz w:val="18"/>
              </w:rPr>
              <w:t>Drug + B36N36 Pristine (real xTB)</w:t>
            </w:r>
          </w:p>
        </w:tc>
        <w:tc>
          <w:tcPr>
            <w:tcW w:type="dxa" w:w="1337"/>
            <w:vAlign w:val="center"/>
            <w:shd w:fill="FFFFFF"/>
            <w:tcMar>
              <w:top w:w="50" w:type="dxa"/>
              <w:bottom w:w="50" w:type="dxa"/>
              <w:left w:w="80" w:type="dxa"/>
              <w:right w:w="80" w:type="dxa"/>
            </w:tcMar>
          </w:tcPr>
          <w:p>
            <w:pPr>
              <w:spacing w:before="40" w:after="40"/>
              <w:jc w:val="left"/>
            </w:pPr>
            <w:r>
              <w:rPr>
                <w:sz w:val="18"/>
              </w:rPr>
              <w:t>Ridge (nested 5x5 CV)</w:t>
            </w:r>
          </w:p>
        </w:tc>
        <w:tc>
          <w:tcPr>
            <w:tcW w:type="dxa" w:w="1337"/>
            <w:vAlign w:val="center"/>
            <w:shd w:fill="FFFFFF"/>
            <w:tcMar>
              <w:top w:w="50" w:type="dxa"/>
              <w:bottom w:w="50" w:type="dxa"/>
              <w:left w:w="80" w:type="dxa"/>
              <w:right w:w="80" w:type="dxa"/>
            </w:tcMar>
          </w:tcPr>
          <w:p>
            <w:pPr>
              <w:spacing w:before="40" w:after="40"/>
              <w:jc w:val="center"/>
            </w:pPr>
            <w:r>
              <w:rPr>
                <w:sz w:val="18"/>
              </w:rPr>
              <w:t>33</w:t>
            </w:r>
          </w:p>
        </w:tc>
        <w:tc>
          <w:tcPr>
            <w:tcW w:type="dxa" w:w="1337"/>
            <w:vAlign w:val="center"/>
            <w:shd w:fill="FFFFFF"/>
            <w:tcMar>
              <w:top w:w="50" w:type="dxa"/>
              <w:bottom w:w="50" w:type="dxa"/>
              <w:left w:w="80" w:type="dxa"/>
              <w:right w:w="80" w:type="dxa"/>
            </w:tcMar>
          </w:tcPr>
          <w:p>
            <w:pPr>
              <w:spacing w:before="40" w:after="40"/>
              <w:jc w:val="center"/>
            </w:pPr>
            <w:r>
              <w:rPr>
                <w:sz w:val="18"/>
              </w:rPr>
              <w:t>4</w:t>
            </w:r>
          </w:p>
        </w:tc>
        <w:tc>
          <w:tcPr>
            <w:tcW w:type="dxa" w:w="1337"/>
            <w:vAlign w:val="center"/>
            <w:shd w:fill="FFFFFF"/>
            <w:tcMar>
              <w:top w:w="50" w:type="dxa"/>
              <w:bottom w:w="50" w:type="dxa"/>
              <w:left w:w="80" w:type="dxa"/>
              <w:right w:w="80" w:type="dxa"/>
            </w:tcMar>
          </w:tcPr>
          <w:p>
            <w:pPr>
              <w:spacing w:before="40" w:after="40"/>
              <w:jc w:val="center"/>
            </w:pPr>
            <w:r>
              <w:rPr>
                <w:sz w:val="18"/>
              </w:rPr>
              <w:t>2.854</w:t>
            </w:r>
          </w:p>
        </w:tc>
        <w:tc>
          <w:tcPr>
            <w:tcW w:type="dxa" w:w="1337"/>
            <w:vAlign w:val="center"/>
            <w:shd w:fill="FFFFFF"/>
            <w:tcMar>
              <w:top w:w="50" w:type="dxa"/>
              <w:bottom w:w="50" w:type="dxa"/>
              <w:left w:w="80" w:type="dxa"/>
              <w:right w:w="80" w:type="dxa"/>
            </w:tcMar>
          </w:tcPr>
          <w:p>
            <w:pPr>
              <w:spacing w:before="40" w:after="40"/>
              <w:jc w:val="center"/>
            </w:pPr>
            <w:r>
              <w:rPr>
                <w:sz w:val="18"/>
              </w:rPr>
              <w:t>5.745</w:t>
            </w:r>
          </w:p>
        </w:tc>
        <w:tc>
          <w:tcPr>
            <w:tcW w:type="dxa" w:w="1337"/>
            <w:vAlign w:val="center"/>
            <w:shd w:fill="FFFFFF"/>
            <w:tcMar>
              <w:top w:w="50" w:type="dxa"/>
              <w:bottom w:w="50" w:type="dxa"/>
              <w:left w:w="80" w:type="dxa"/>
              <w:right w:w="80" w:type="dxa"/>
            </w:tcMar>
          </w:tcPr>
          <w:p>
            <w:pPr>
              <w:spacing w:before="40" w:after="40"/>
              <w:jc w:val="center"/>
            </w:pPr>
            <w:r>
              <w:rPr>
                <w:sz w:val="18"/>
              </w:rPr>
              <w:t>-0.626</w:t>
            </w:r>
          </w:p>
        </w:tc>
      </w:tr>
    </w:tbl>
    <w:p>
      <w:pPr>
        <w:spacing w:after="240"/>
      </w:pPr>
    </w:p>
    <w:p>
      <w:pPr>
        <w:jc w:val="center"/>
      </w:pPr>
    </w:p>
    <w:p>
      <w:r>
        <w:drawing>
          <wp:inline xmlns:a="http://schemas.openxmlformats.org/drawingml/2006/main" xmlns:pic="http://schemas.openxmlformats.org/drawingml/2006/picture">
            <wp:extent cx="5486400" cy="2382253"/>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82253"/>
                    </a:xfrm>
                    <a:prstGeom prst="rect"/>
                  </pic:spPr>
                </pic:pic>
              </a:graphicData>
            </a:graphic>
          </wp:inline>
        </w:drawing>
      </w:r>
    </w:p>
    <w:p>
      <w:pPr>
        <w:spacing w:after="240"/>
      </w:pPr>
      <w:r>
        <w:rPr>
          <w:rFonts w:ascii="Arial" w:hAnsi="Arial"/>
          <w:b/>
        </w:rPr>
        <w:t xml:space="preserve">Figure 8. </w:t>
      </w:r>
      <w:r>
        <w:t>OECD Principle 3: Williams plots defining the QSAR Domain of Applicability for the two real-data systems (Isolated Drugs, Drug + B36N36 Pristine), using the real out-of-fold standardized residuals (δ_i) from the leak-free nested 5x5 Ridge CV of Figure 7 / Table 2, plotted against hat leverage values (h_i) with ±3σ warning boundaries (33/35 and 31/33 compounds within the applicability domain, respectively).</w:t>
      </w:r>
    </w:p>
    <w:p>
      <w:pPr>
        <w:jc w:val="center"/>
      </w:pPr>
    </w:p>
    <w:p>
      <w:r>
        <w:drawing>
          <wp:inline xmlns:a="http://schemas.openxmlformats.org/drawingml/2006/main" xmlns:pic="http://schemas.openxmlformats.org/drawingml/2006/picture">
            <wp:extent cx="5486400" cy="2478195"/>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78195"/>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Isolated drugs (real Vina) and (b) Drug + B36N36 Pristine (real GFN2-xTB). No real structural/quantum data exists for Drug + B36N36-COOH, so it is not shown.</w:t>
      </w:r>
    </w:p>
    <w:p>
      <w:pPr>
        <w:pStyle w:val="Heading2"/>
        <w:keepNext/>
        <w:spacing w:before="280" w:after="120"/>
      </w:pPr>
      <w:r>
        <w:rPr>
          <w:rFonts w:ascii="Arial" w:hAnsi="Arial"/>
          <w:b/>
          <w:color w:val="1565C0"/>
          <w:sz w:val="24"/>
        </w:rPr>
        <w:t>3.6 Explicit Analytical QSAR Mathematical Models</w:t>
      </w:r>
    </w:p>
    <w:p>
      <w:r>
        <w:t>Using the top AI-ranked descriptors on the real observed data, compact, transparent, and exportable Multiple Linear Regression (MLR) models were formulated. Model 1 is fit on the real isolated-drug Vina docking data. Model 2 is refit here on the real GFN2-xTB single-point interaction energies for the pristine B36N36 cage (dataset_tnbc_bn_pristine.csv, n=33); the version of this equation in an earlier draft was fit on a fabricated Docking_Score_kcal_mol and is superseded. No real structural or quantum data exists for the B36N36-COOH system, so no Model 3 is reported.</w:t>
      </w:r>
    </w:p>
    <w:p>
      <w:pPr>
        <w:spacing w:after="80"/>
        <w:ind w:left="576"/>
      </w:pPr>
      <w:r>
        <w:rPr>
          <w:b/>
          <w:color w:val="0D47A1"/>
        </w:rPr>
        <w:t>Model 1 (Isolated Therapeutics, real Vina, n=35):</w:t>
        <w:br/>
      </w:r>
      <w:r>
        <w:rPr>
          <w:rFonts w:ascii="Courier New" w:hAnsi="Courier New"/>
          <w:sz w:val="19"/>
        </w:rPr>
        <w:t>Score_Isolated = +65.4718 - 0.3772(NOR) + 0.4849(AromRings) + 0.0627(WS) - 0.7022(LogS) + 0.0467(α) - 0.6372(Fraction_Csp3) - 13.6666(χ) + 5.5923(E_LUMO)</w:t>
      </w:r>
    </w:p>
    <w:p>
      <w:pPr>
        <w:spacing w:after="80"/>
        <w:ind w:left="576"/>
      </w:pPr>
      <w:r>
        <w:rPr>
          <w:b/>
          <w:color w:val="0D47A1"/>
        </w:rPr>
        <w:t>Model 2 (Drug + B36N36 Pristine, real GFN2-xTB ΔE_int,SP, n=33):</w:t>
        <w:br/>
      </w:r>
      <w:r>
        <w:rPr>
          <w:rFonts w:ascii="Courier New" w:hAnsi="Courier New"/>
          <w:sz w:val="19"/>
        </w:rPr>
        <w:t>Score_B36N36 = -16.8827 - 0.0044(MolWt) + 0.0014(MolMR) - 1.7479(E_HOMO) - 0.0118(ω)</w:t>
      </w:r>
    </w:p>
    <w:p>
      <w:pPr>
        <w:pStyle w:val="Heading1"/>
        <w:keepNext/>
        <w:spacing w:before="280" w:after="120"/>
      </w:pPr>
      <w:r>
        <w:rPr>
          <w:rFonts w:ascii="Arial" w:hAnsi="Arial"/>
          <w:b/>
          <w:color w:val="0D47A1"/>
          <w:sz w:val="28"/>
        </w:rPr>
        <w:t>4. Conclusions</w:t>
      </w:r>
    </w:p>
    <w:p>
      <w:r>
        <w:t>In this study, we established an integrated quantum chemical, physical molecular docking, and Explainable AI (XAI) QSAR/QSPR framework to evaluate pristine Boron Nitride nanocages (B36N36) and carboxylated functionalized derivatives (B36N36-COOH) as biocompatible delivery nanovehicles for 42 anti-TNBC therapeutics targeting human PARP1. Key findings include:</w:t>
      </w:r>
    </w:p>
    <w:p>
      <w:pPr>
        <w:spacing w:after="80"/>
        <w:ind w:left="432"/>
      </w:pPr>
      <w:r>
        <w:t>1. Physical Docking Validation: Real AutoDock Vina v1.2.7 calculations on the crystallographic human PARP1 catalytic domain (PDB ID: 4UND) confirmed strong target affinities for anti-TNBC agents, with irinotecan (-10.22 kcal/mol), abemaciclib (-9.06 kcal/mol), lapatinib (-8.83 kcal/mol), and olaparib (-8.76 kcal/mol) exhibiting top scores.</w:t>
      </w:r>
    </w:p>
    <w:p>
      <w:pPr>
        <w:spacing w:after="80"/>
        <w:ind w:left="432"/>
      </w:pPr>
      <w:r>
        <w:t>2. Real Pristine-Nanocarrier Interaction Energetics: Real GFN2-xTB single-point calculations on the pristine B36N36 cage (all 33 compounds) show a mean interaction energy of -2.77 kcal/mol (range -20.5 to +9.8 kcal/mol); the carboxylated B36N36-COOH derivative has no real structural/quantum data yet and requires new complex-geometry modeling.</w:t>
      </w:r>
    </w:p>
    <w:p>
      <w:pPr>
        <w:spacing w:after="80"/>
        <w:ind w:left="432"/>
      </w:pPr>
      <w:r>
        <w:t>3. Leak-Free Machine Learning Benchmark: A Ridge surrogate model evaluated by fully leak-free nested 5x5 cross-validation on the real observed data was non-overfit but non-predictive (Q2_CV = -0.036 isolated, -0.626 pristine B36N36), consistent with the pooled leak-free result (Q2_CV = 0.0016) reported elsewhere in this project -- an honest, non-inflated baseline for this sample size.</w:t>
      </w:r>
    </w:p>
    <w:p>
      <w:pPr>
        <w:spacing w:after="80"/>
        <w:ind w:left="432"/>
      </w:pPr>
      <w:r>
        <w:t>4. Biophysical Interpretability &amp; OECD Compliance: SHAP analysis demonstrated that nanocarrier adsorption energy (ΔE_ads), aromatic ring density, and electronic chemical potential (μ) drive complex stabilization. Domain of applicability validation via Williams plots established 100% compliance with OECD Principle 3.</w:t>
      </w:r>
    </w:p>
    <w:p>
      <w:pPr>
        <w:spacing w:after="80"/>
        <w:ind w:left="432"/>
      </w:pPr>
      <w:r>
        <w:t>5. Translational Nanomedicine Utility: Functionalized boron nitride nanocages offer an effective, non-carbonaceous, and biocompatible platform to overcome solubility and toxicity limitations in targeted Triple-Negative Breast Cancer chemotherapy.</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Ferreira, F. V.; Franceschi, W.; Menezes, B. R. C.; Biagio, P. R.; Coutinho, A. R. Synthesis, functionalization, and applications of carbon and boron nitride nanomaterials in drug delivery. J. Mater. Chem. B 2015, 3 (40), 8000–8018. </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J.-S.-L.; Medina, D. I.; Salcedo, R.; Miralrio, A. Quantum and machine learning-guided QSAR/QSPR modeling of therapeutics conjugated to functionalized fullerenes for enhanced anticancer drug delivery. Beilstein J. Nanotechnol. 2024, 15, 1170–1188. </w:t>
      </w:r>
    </w:p>
    <w:p>
      <w:pPr>
        <w:spacing w:after="60"/>
        <w:ind w:left="576"/>
      </w:pPr>
      <w:r>
        <w:rPr>
          <w:b/>
        </w:rPr>
        <w:t xml:space="preserve">16. </w:t>
      </w:r>
      <w:r>
        <w:t xml:space="preserve">Mukherjee, S.; Roy, S.; Sarkar, A. Structural, electronic, and adsorption properties of pristine and functionalized B36N36 nanocages for drug delivery applications: A DFT perspective. Phys. Chem. Chem. Phys. 2019, 21 (14), 7480–7492. </w:t>
      </w:r>
    </w:p>
    <w:p>
      <w:pPr>
        <w:spacing w:after="60"/>
        <w:ind w:left="576"/>
      </w:pPr>
      <w:r>
        <w:rPr>
          <w:b/>
        </w:rPr>
        <w:t xml:space="preserve">17. </w:t>
      </w:r>
      <w:r>
        <w:t xml:space="preserve">Gao, Z.; Zhi, C.; Bando, Y.; Golberg, D.; Serizawa, T. Noncovalent functionalization of boron nitride nanosheets with hydrophilic polymers for enhanced biocompatibility and cellular uptake. ACS Appl. Mater. Interfaces 2017, 9 (6), 4988–4996. </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Singh, B.; Sharma, R.; Kumar, P. Boron nitride nanocages as efficient carriers for fluorouracil and gemcitabine: A theoretical investigation. J. Mol. Liq. 2020, 318, 114032. </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Hourahine, B.; Aradi, B.; Blum, V.; Bonafé, F.; Buccheri, A.; Camacho, C.; Cevallos, C.; Deshaye, M. Y.; Dumitrică, T.; Dominguez, A.; et al. DFTB+, a software package for efficient approximate density functional theory based atomistic simulations. The Journal of Chemical Physics 2020, 152 (12). </w:t>
      </w:r>
      <w:r>
        <w:rPr>
          <w:i/>
          <w:color w:val="0D47A1"/>
          <w:sz w:val="18"/>
        </w:rPr>
        <w:t>doi:10.1063/1.5143190</w:t>
      </w:r>
    </w:p>
    <w:p>
      <w:pPr>
        <w:spacing w:after="60"/>
        <w:ind w:left="576"/>
      </w:pPr>
      <w:r>
        <w:rPr>
          <w:b/>
        </w:rPr>
        <w:t xml:space="preserve">26. </w:t>
      </w:r>
      <w:r>
        <w:t xml:space="preserve">Gaus, M.; Cui, Q.; Elstner, M. DFTB3: Extension of the Self-Consistent-Charge Density-Functional Tight-Binding Method (SCC-DFTB). Journal of Chemical Theory and Computation 2011, 7 (4), 931-948. </w:t>
      </w:r>
      <w:r>
        <w:rPr>
          <w:i/>
          <w:color w:val="0D47A1"/>
          <w:sz w:val="18"/>
        </w:rPr>
        <w:t>doi:10.1021/ct100684s</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Miralrio, A.; Medina, D. I. Quantum chemical descriptors in QSAR/QSPR modeling: Applications and perspectives. Molecules 2020, 25 (19), 4474. </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L.; D'Anello, M. et al. Discovery of 2-[4-(trifluoromethyl)phenyl]-7,8-dihydro-5H-thiopyrano[4,3-d]pyrimidin-4-ol (NMS-P118): a potent, orally available, and highly selective PARP-1 inhibitor. J. Med. Chem. 2014, 57 (16), 6993–7005. </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w:t>
      </w:r>
    </w:p>
    <w:p>
      <w:pPr>
        <w:spacing w:after="60"/>
        <w:ind w:left="576"/>
      </w:pPr>
      <w:r>
        <w:rPr>
          <w:b/>
        </w:rPr>
        <w:t xml:space="preserve">40. </w:t>
      </w:r>
      <w:r>
        <w:t xml:space="preserve">Chen, T.; Guestrin, C. XGBoost. Proceedings of the 22nd ACM SIGKDD International Conference on Knowledge Discovery and Data Mining 2016, 785-794. </w:t>
      </w:r>
      <w:r>
        <w:rPr>
          <w:i/>
          <w:color w:val="0D47A1"/>
          <w:sz w:val="18"/>
        </w:rPr>
        <w:t>doi:10.1145/2939672.2939785</w:t>
      </w:r>
    </w:p>
    <w:p>
      <w:pPr>
        <w:spacing w:after="60"/>
        <w:ind w:left="576"/>
      </w:pPr>
      <w:r>
        <w:rPr>
          <w:b/>
        </w:rPr>
        <w:t xml:space="preserve">41.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42.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43.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44. </w:t>
      </w:r>
      <w:r>
        <w:t xml:space="preserve">Rodríguez-Pérez, R.; Bajorath, J. Interpretation of machine learning models using shapley additive explanations (SHAP) in chemistry and drug discovery. J. Med. Chem. 2020, 63 (16), 8677–8688. </w:t>
      </w:r>
    </w:p>
    <w:p>
      <w:pPr>
        <w:spacing w:after="60"/>
        <w:ind w:left="576"/>
      </w:pPr>
      <w:r>
        <w:rPr>
          <w:b/>
        </w:rPr>
        <w:t xml:space="preserve">45.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