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excluded), and doxorubicin reacts with the cage. A docking protocol that reproduces the crystallographic talazoparib pose in PARP1 (root-mean-square deviation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quantitative structure–property relationship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(Online Resource 1,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60732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607320"/>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Table S2), both within the usual 2 Å criterion.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per-drug values in Table S3).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7283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72832"/>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6253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62530"/>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Excluding doxorubicin, the chemisorbed drugs bind about 1.8 times more strongly than the physisorbed ones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95973"/>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95973"/>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70849"/>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70849"/>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in this set, how well a drug scores in the target carries no information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Table S4).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at least with global descriptors of this kind, screening B</w:t>
      </w:r>
      <w:r>
        <w:rPr>
          <w:vertAlign w:val="subscript"/>
        </w:rPr>
        <w:t>36</w:t>
      </w:r>
      <w:r>
        <w:rPr/>
        <w:t>N</w:t>
      </w:r>
      <w:r>
        <w:rPr>
          <w:vertAlign w:val="subscript"/>
        </w:rPr>
        <w:t>36</w:t>
      </w:r>
      <w:r>
        <w:rPr/>
        <w:t xml:space="preserve"> carriers requires explicit adsorption calculations.</w:t>
      </w:r>
    </w:p>
    <w:p>
      <w:pPr>
        <w:keepNext/>
        <w:jc w:val="center"/>
      </w:pPr>
      <w:r>
        <w:drawing>
          <wp:inline xmlns:a="http://schemas.openxmlformats.org/drawingml/2006/main" xmlns:pic="http://schemas.openxmlformats.org/drawingml/2006/picture">
            <wp:extent cx="6264000" cy="430222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30222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the docking score is uncorrelated with carrier binding. Descriptor-based QSPR models fail for both endpoints (</w:t>
      </w:r>
      <w:r>
        <w:rPr>
          <w:i/>
        </w:rPr>
        <w:t>Q</w:t>
      </w:r>
      <w:r>
        <w:rPr>
          <w:vertAlign w:val="superscript"/>
        </w:rPr>
        <w:t>2</w:t>
      </w:r>
      <w:r>
        <w:rPr>
          <w:vertAlign w:val="subscript"/>
        </w:rPr>
        <w:t>CV</w:t>
      </w:r>
      <w:r>
        <w:rPr/>
        <w:t xml:space="preserve"> ≈ −0.08 and −0.08), so with such descriptors B</w:t>
      </w:r>
      <w:r>
        <w:rPr>
          <w:vertAlign w:val="subscript"/>
        </w:rPr>
        <w:t>36</w:t>
      </w:r>
      <w:r>
        <w:rPr/>
        <w:t>N</w:t>
      </w:r>
      <w:r>
        <w:rPr>
          <w:vertAlign w:val="subscript"/>
        </w:rPr>
        <w:t>36</w:t>
      </w:r>
      <w:r>
        <w:rPr/>
        <w:t xml:space="preserve"> loading has to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