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nanocarrier conjugation with B36N36 and B36N36-COOH systematically amplifies macromolecular stabilization to -11.13 kcal/mol and -12.13 kcal/mol, respectively, inducing a spatial relocation toward the outer regulatory cleft and polar surface grooves. Tree-based machine learning (ExtraTrees, XGBoost) and Multiple Linear Regression (MLR) models achieved high predictive precision (test MAPE = 5.05%–6.90%, R2 &gt; 0.86). Game-theoretic SHAP analysis elucidated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The dataset was partitioned into an 80% training set and an independent 20% external validation set using stratified splitting. Supervised regressor models (ExtraTrees, XGBoost, and Multiple Linear Regression) were trained with 5-fold cross-validation. Model performance was evaluated using Mean Squared Error (MSE), Root Mean Squared Error (RMSE), Mean Absolute Error (MAE), Mean Absolute Percentage Error (MAPE), and coefficient of determination (R2). Game-theoretic SHAP (SHapley Additive exPlanations) was computed to quantify the exact marginal contribution of each descriptor.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representative therapeutics docked against human PARP1 (PDB: 4UND). Isolated therapeutics exhibit an average binding score of -7.22 kcal/mol, spanning from -10.22 kcal/mol (irinotecan) to -3.91 kcal/mol (ixabepilone). Targeted small-molecule kinase inhibitors and bulky topoisomerase inhibitors display higher binding affinities due to extensive van der Waals surface contacts and aromatic π-stacking.</w:t>
      </w:r>
    </w:p>
    <w:p>
      <w:r>
        <w:rPr>
          <w:b/>
        </w:rPr>
        <w:t>Table 1. Physical AutoDock Vina v1.2.7 binding affinities (ΔG_bind, kcal/mol) on human PARP1 (PDB ID: 4UND) and predicted nanocarrier complexes.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B36N36-COOH (kcal/mol)</w:t>
            </w:r>
          </w:p>
        </w:tc>
      </w:tr>
      <w:tr>
        <w:tc>
          <w:tcPr>
            <w:tcW w:type="dxa" w:w="1560"/>
            <w:vAlign w:val="center"/>
            <w:shd w:fill="F5F5F5"/>
            <w:tcMar>
              <w:top w:w="60" w:type="dxa"/>
              <w:bottom w:w="60" w:type="dxa"/>
              <w:left w:w="100" w:type="dxa"/>
              <w:right w:w="100" w:type="dxa"/>
            </w:tcMar>
          </w:tcPr>
          <w:p>
            <w:pPr>
              <w:spacing w:before="40" w:after="40"/>
              <w:jc w:val="left"/>
            </w:pPr>
            <w:r>
              <w:rPr>
                <w:b/>
                <w:sz w:val="18"/>
              </w:rPr>
              <w:t>Irinotecan</w:t>
            </w:r>
          </w:p>
        </w:tc>
        <w:tc>
          <w:tcPr>
            <w:tcW w:type="dxa" w:w="1560"/>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DB00762</w:t>
            </w:r>
          </w:p>
        </w:tc>
        <w:tc>
          <w:tcPr>
            <w:tcW w:type="dxa" w:w="1560"/>
            <w:vAlign w:val="center"/>
            <w:shd w:fill="F5F5F5"/>
            <w:tcMar>
              <w:top w:w="60" w:type="dxa"/>
              <w:bottom w:w="60" w:type="dxa"/>
              <w:left w:w="100" w:type="dxa"/>
              <w:right w:w="100" w:type="dxa"/>
            </w:tcMar>
          </w:tcPr>
          <w:p>
            <w:pPr>
              <w:spacing w:before="40" w:after="40"/>
              <w:jc w:val="center"/>
            </w:pPr>
            <w:r>
              <w:rPr>
                <w:sz w:val="18"/>
              </w:rPr>
              <w:t>-10.22</w:t>
            </w:r>
          </w:p>
        </w:tc>
        <w:tc>
          <w:tcPr>
            <w:tcW w:type="dxa" w:w="1560"/>
            <w:vAlign w:val="center"/>
            <w:shd w:fill="F5F5F5"/>
            <w:tcMar>
              <w:top w:w="60" w:type="dxa"/>
              <w:bottom w:w="60" w:type="dxa"/>
              <w:left w:w="100" w:type="dxa"/>
              <w:right w:w="100" w:type="dxa"/>
            </w:tcMar>
          </w:tcPr>
          <w:p>
            <w:pPr>
              <w:spacing w:before="40" w:after="40"/>
              <w:jc w:val="center"/>
            </w:pPr>
            <w:r>
              <w:rPr>
                <w:sz w:val="18"/>
              </w:rPr>
              <w:t>-14.33</w:t>
            </w:r>
          </w:p>
        </w:tc>
        <w:tc>
          <w:tcPr>
            <w:tcW w:type="dxa" w:w="1560"/>
            <w:vAlign w:val="center"/>
            <w:shd w:fill="F5F5F5"/>
            <w:tcMar>
              <w:top w:w="60" w:type="dxa"/>
              <w:bottom w:w="60" w:type="dxa"/>
              <w:left w:w="100" w:type="dxa"/>
              <w:right w:w="100" w:type="dxa"/>
            </w:tcMar>
          </w:tcPr>
          <w:p>
            <w:pPr>
              <w:spacing w:before="40" w:after="40"/>
              <w:jc w:val="center"/>
            </w:pPr>
            <w:r>
              <w:rPr>
                <w:sz w:val="18"/>
              </w:rPr>
              <w:t>-15.30</w:t>
            </w:r>
          </w:p>
        </w:tc>
      </w:tr>
      <w:tr>
        <w:tc>
          <w:tcPr>
            <w:tcW w:type="dxa" w:w="1560"/>
            <w:vAlign w:val="center"/>
            <w:shd w:fill="FFFFFF"/>
            <w:tcMar>
              <w:top w:w="60" w:type="dxa"/>
              <w:bottom w:w="60" w:type="dxa"/>
              <w:left w:w="100" w:type="dxa"/>
              <w:right w:w="100" w:type="dxa"/>
            </w:tcMar>
          </w:tcPr>
          <w:p>
            <w:pPr>
              <w:spacing w:before="40" w:after="40"/>
              <w:jc w:val="left"/>
            </w:pPr>
            <w:r>
              <w:rPr>
                <w:b/>
                <w:sz w:val="18"/>
              </w:rPr>
              <w:t>Abemaciclib</w:t>
            </w:r>
          </w:p>
        </w:tc>
        <w:tc>
          <w:tcPr>
            <w:tcW w:type="dxa" w:w="1560"/>
            <w:vAlign w:val="center"/>
            <w:shd w:fill="FFFFFF"/>
            <w:tcMar>
              <w:top w:w="60" w:type="dxa"/>
              <w:bottom w:w="60" w:type="dxa"/>
              <w:left w:w="100" w:type="dxa"/>
              <w:right w:w="100" w:type="dxa"/>
            </w:tcMar>
          </w:tcPr>
          <w:p>
            <w:pPr>
              <w:spacing w:before="40" w:after="40"/>
              <w:jc w:val="left"/>
            </w:pPr>
            <w:r>
              <w:rPr>
                <w:sz w:val="18"/>
              </w:rPr>
              <w:t>CDK4/6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-9.06</w:t>
            </w:r>
          </w:p>
        </w:tc>
        <w:tc>
          <w:tcPr>
            <w:tcW w:type="dxa" w:w="1560"/>
            <w:vAlign w:val="center"/>
            <w:shd w:fill="FFFFFF"/>
            <w:tcMar>
              <w:top w:w="60" w:type="dxa"/>
              <w:bottom w:w="60" w:type="dxa"/>
              <w:left w:w="100" w:type="dxa"/>
              <w:right w:w="100" w:type="dxa"/>
            </w:tcMar>
          </w:tcPr>
          <w:p>
            <w:pPr>
              <w:spacing w:before="40" w:after="40"/>
              <w:jc w:val="center"/>
            </w:pPr>
            <w:r>
              <w:rPr>
                <w:sz w:val="18"/>
              </w:rPr>
              <w:t>-13.22</w:t>
            </w:r>
          </w:p>
        </w:tc>
        <w:tc>
          <w:tcPr>
            <w:tcW w:type="dxa" w:w="1560"/>
            <w:vAlign w:val="center"/>
            <w:shd w:fill="FFFFFF"/>
            <w:tcMar>
              <w:top w:w="60" w:type="dxa"/>
              <w:bottom w:w="60" w:type="dxa"/>
              <w:left w:w="100" w:type="dxa"/>
              <w:right w:w="100" w:type="dxa"/>
            </w:tcMar>
          </w:tcPr>
          <w:p>
            <w:pPr>
              <w:spacing w:before="40" w:after="40"/>
              <w:jc w:val="center"/>
            </w:pPr>
            <w:r>
              <w:rPr>
                <w:sz w:val="18"/>
              </w:rPr>
              <w:t>-14.23</w:t>
            </w:r>
          </w:p>
        </w:tc>
      </w:tr>
      <w:tr>
        <w:tc>
          <w:tcPr>
            <w:tcW w:type="dxa" w:w="1560"/>
            <w:vAlign w:val="center"/>
            <w:shd w:fill="F5F5F5"/>
            <w:tcMar>
              <w:top w:w="60" w:type="dxa"/>
              <w:bottom w:w="60" w:type="dxa"/>
              <w:left w:w="100" w:type="dxa"/>
              <w:right w:w="100" w:type="dxa"/>
            </w:tcMar>
          </w:tcPr>
          <w:p>
            <w:pPr>
              <w:spacing w:before="40" w:after="40"/>
              <w:jc w:val="left"/>
            </w:pPr>
            <w:r>
              <w:rPr>
                <w:b/>
                <w:sz w:val="18"/>
              </w:rPr>
              <w:t>Bemcentinib</w:t>
            </w:r>
          </w:p>
        </w:tc>
        <w:tc>
          <w:tcPr>
            <w:tcW w:type="dxa" w:w="1560"/>
            <w:vAlign w:val="center"/>
            <w:shd w:fill="F5F5F5"/>
            <w:tcMar>
              <w:top w:w="60" w:type="dxa"/>
              <w:bottom w:w="60" w:type="dxa"/>
              <w:left w:w="100" w:type="dxa"/>
              <w:right w:w="100" w:type="dxa"/>
            </w:tcMar>
          </w:tcPr>
          <w:p>
            <w:pPr>
              <w:spacing w:before="40" w:after="40"/>
              <w:jc w:val="left"/>
            </w:pPr>
            <w:r>
              <w:rPr>
                <w:sz w:val="18"/>
              </w:rPr>
              <w:t>AXL Kinase Inhibitor</w:t>
            </w:r>
          </w:p>
        </w:tc>
        <w:tc>
          <w:tcPr>
            <w:tcW w:type="dxa" w:w="1560"/>
            <w:vAlign w:val="center"/>
            <w:shd w:fill="F5F5F5"/>
            <w:tcMar>
              <w:top w:w="60" w:type="dxa"/>
              <w:bottom w:w="60" w:type="dxa"/>
              <w:left w:w="100" w:type="dxa"/>
              <w:right w:w="100" w:type="dxa"/>
            </w:tcMar>
          </w:tcPr>
          <w:p>
            <w:pPr>
              <w:spacing w:before="40" w:after="40"/>
              <w:jc w:val="left"/>
            </w:pPr>
            <w:r>
              <w:rPr>
                <w:sz w:val="18"/>
              </w:rPr>
              <w:t>DB12411</w:t>
            </w:r>
          </w:p>
        </w:tc>
        <w:tc>
          <w:tcPr>
            <w:tcW w:type="dxa" w:w="1560"/>
            <w:vAlign w:val="center"/>
            <w:shd w:fill="F5F5F5"/>
            <w:tcMar>
              <w:top w:w="60" w:type="dxa"/>
              <w:bottom w:w="60" w:type="dxa"/>
              <w:left w:w="100" w:type="dxa"/>
              <w:right w:w="100" w:type="dxa"/>
            </w:tcMar>
          </w:tcPr>
          <w:p>
            <w:pPr>
              <w:spacing w:before="40" w:after="40"/>
              <w:jc w:val="center"/>
            </w:pPr>
            <w:r>
              <w:rPr>
                <w:sz w:val="18"/>
              </w:rPr>
              <w:t>-8.84</w:t>
            </w:r>
          </w:p>
        </w:tc>
        <w:tc>
          <w:tcPr>
            <w:tcW w:type="dxa" w:w="1560"/>
            <w:vAlign w:val="center"/>
            <w:shd w:fill="F5F5F5"/>
            <w:tcMar>
              <w:top w:w="60" w:type="dxa"/>
              <w:bottom w:w="60" w:type="dxa"/>
              <w:left w:w="100" w:type="dxa"/>
              <w:right w:w="100" w:type="dxa"/>
            </w:tcMar>
          </w:tcPr>
          <w:p>
            <w:pPr>
              <w:spacing w:before="40" w:after="40"/>
              <w:jc w:val="center"/>
            </w:pPr>
            <w:r>
              <w:rPr>
                <w:sz w:val="18"/>
              </w:rPr>
              <w:t>-13.00</w:t>
            </w:r>
          </w:p>
        </w:tc>
        <w:tc>
          <w:tcPr>
            <w:tcW w:type="dxa" w:w="1560"/>
            <w:vAlign w:val="center"/>
            <w:shd w:fill="F5F5F5"/>
            <w:tcMar>
              <w:top w:w="60" w:type="dxa"/>
              <w:bottom w:w="60" w:type="dxa"/>
              <w:left w:w="100" w:type="dxa"/>
              <w:right w:w="100" w:type="dxa"/>
            </w:tcMar>
          </w:tcPr>
          <w:p>
            <w:pPr>
              <w:spacing w:before="40" w:after="40"/>
              <w:jc w:val="center"/>
            </w:pPr>
            <w:r>
              <w:rPr>
                <w:sz w:val="18"/>
              </w:rPr>
              <w:t>-14.01</w:t>
            </w:r>
          </w:p>
        </w:tc>
      </w:tr>
      <w:tr>
        <w:tc>
          <w:tcPr>
            <w:tcW w:type="dxa" w:w="1560"/>
            <w:vAlign w:val="center"/>
            <w:shd w:fill="FFFFFF"/>
            <w:tcMar>
              <w:top w:w="60" w:type="dxa"/>
              <w:bottom w:w="60" w:type="dxa"/>
              <w:left w:w="100" w:type="dxa"/>
              <w:right w:w="100" w:type="dxa"/>
            </w:tcMar>
          </w:tcPr>
          <w:p>
            <w:pPr>
              <w:spacing w:before="40" w:after="40"/>
              <w:jc w:val="left"/>
            </w:pPr>
            <w:r>
              <w:rPr>
                <w:b/>
                <w:sz w:val="18"/>
              </w:rPr>
              <w:t>Lapatinib</w:t>
            </w:r>
          </w:p>
        </w:tc>
        <w:tc>
          <w:tcPr>
            <w:tcW w:type="dxa" w:w="1560"/>
            <w:vAlign w:val="center"/>
            <w:shd w:fill="FFFFFF"/>
            <w:tcMar>
              <w:top w:w="60" w:type="dxa"/>
              <w:bottom w:w="60" w:type="dxa"/>
              <w:left w:w="100" w:type="dxa"/>
              <w:right w:w="100" w:type="dxa"/>
            </w:tcMar>
          </w:tcPr>
          <w:p>
            <w:pPr>
              <w:spacing w:before="40" w:after="40"/>
              <w:jc w:val="left"/>
            </w:pPr>
            <w:r>
              <w:rPr>
                <w:sz w:val="18"/>
              </w:rPr>
              <w:t>EGFR/HER2 Inhibitor</w:t>
            </w:r>
          </w:p>
        </w:tc>
        <w:tc>
          <w:tcPr>
            <w:tcW w:type="dxa" w:w="1560"/>
            <w:vAlign w:val="center"/>
            <w:shd w:fill="FFFFFF"/>
            <w:tcMar>
              <w:top w:w="60" w:type="dxa"/>
              <w:bottom w:w="60" w:type="dxa"/>
              <w:left w:w="100" w:type="dxa"/>
              <w:right w:w="100" w:type="dxa"/>
            </w:tcMar>
          </w:tcPr>
          <w:p>
            <w:pPr>
              <w:spacing w:before="40" w:after="40"/>
              <w:jc w:val="left"/>
            </w:pPr>
            <w:r>
              <w:rPr>
                <w:sz w:val="18"/>
              </w:rPr>
              <w:t>DB01259</w:t>
            </w:r>
          </w:p>
        </w:tc>
        <w:tc>
          <w:tcPr>
            <w:tcW w:type="dxa" w:w="1560"/>
            <w:vAlign w:val="center"/>
            <w:shd w:fill="FFFFFF"/>
            <w:tcMar>
              <w:top w:w="60" w:type="dxa"/>
              <w:bottom w:w="60" w:type="dxa"/>
              <w:left w:w="100" w:type="dxa"/>
              <w:right w:w="100" w:type="dxa"/>
            </w:tcMar>
          </w:tcPr>
          <w:p>
            <w:pPr>
              <w:spacing w:before="40" w:after="40"/>
              <w:jc w:val="center"/>
            </w:pPr>
            <w:r>
              <w:rPr>
                <w:sz w:val="18"/>
              </w:rPr>
              <w:t>-8.83</w:t>
            </w:r>
          </w:p>
        </w:tc>
        <w:tc>
          <w:tcPr>
            <w:tcW w:type="dxa" w:w="1560"/>
            <w:vAlign w:val="center"/>
            <w:shd w:fill="FFFFFF"/>
            <w:tcMar>
              <w:top w:w="60" w:type="dxa"/>
              <w:bottom w:w="60" w:type="dxa"/>
              <w:left w:w="100" w:type="dxa"/>
              <w:right w:w="100" w:type="dxa"/>
            </w:tcMar>
          </w:tcPr>
          <w:p>
            <w:pPr>
              <w:spacing w:before="40" w:after="40"/>
              <w:jc w:val="center"/>
            </w:pPr>
            <w:r>
              <w:rPr>
                <w:sz w:val="18"/>
              </w:rPr>
              <w:t>-13.00</w:t>
            </w:r>
          </w:p>
        </w:tc>
        <w:tc>
          <w:tcPr>
            <w:tcW w:type="dxa" w:w="1560"/>
            <w:vAlign w:val="center"/>
            <w:shd w:fill="FFFFFF"/>
            <w:tcMar>
              <w:top w:w="60" w:type="dxa"/>
              <w:bottom w:w="60" w:type="dxa"/>
              <w:left w:w="100" w:type="dxa"/>
              <w:right w:w="100" w:type="dxa"/>
            </w:tcMar>
          </w:tcPr>
          <w:p>
            <w:pPr>
              <w:spacing w:before="40" w:after="40"/>
              <w:jc w:val="center"/>
            </w:pPr>
            <w:r>
              <w:rPr>
                <w:sz w:val="18"/>
              </w:rPr>
              <w:t>-14.01</w:t>
            </w:r>
          </w:p>
        </w:tc>
      </w:tr>
      <w:tr>
        <w:tc>
          <w:tcPr>
            <w:tcW w:type="dxa" w:w="1560"/>
            <w:vAlign w:val="center"/>
            <w:shd w:fill="F5F5F5"/>
            <w:tcMar>
              <w:top w:w="60" w:type="dxa"/>
              <w:bottom w:w="60" w:type="dxa"/>
              <w:left w:w="100" w:type="dxa"/>
              <w:right w:w="100" w:type="dxa"/>
            </w:tcMar>
          </w:tcPr>
          <w:p>
            <w:pPr>
              <w:spacing w:before="40" w:after="40"/>
              <w:jc w:val="left"/>
            </w:pPr>
            <w:r>
              <w:rPr>
                <w:b/>
                <w:sz w:val="18"/>
              </w:rPr>
              <w:t>Olaparib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DB00140</w:t>
            </w:r>
          </w:p>
        </w:tc>
        <w:tc>
          <w:tcPr>
            <w:tcW w:type="dxa" w:w="1560"/>
            <w:vAlign w:val="center"/>
            <w:shd w:fill="F5F5F5"/>
            <w:tcMar>
              <w:top w:w="60" w:type="dxa"/>
              <w:bottom w:w="60" w:type="dxa"/>
              <w:left w:w="100" w:type="dxa"/>
              <w:right w:w="100" w:type="dxa"/>
            </w:tcMar>
          </w:tcPr>
          <w:p>
            <w:pPr>
              <w:spacing w:before="40" w:after="40"/>
              <w:jc w:val="center"/>
            </w:pPr>
            <w:r>
              <w:rPr>
                <w:sz w:val="18"/>
              </w:rPr>
              <w:t>-8.76</w:t>
            </w:r>
          </w:p>
        </w:tc>
        <w:tc>
          <w:tcPr>
            <w:tcW w:type="dxa" w:w="1560"/>
            <w:vAlign w:val="center"/>
            <w:shd w:fill="F5F5F5"/>
            <w:tcMar>
              <w:top w:w="60" w:type="dxa"/>
              <w:bottom w:w="60" w:type="dxa"/>
              <w:left w:w="100" w:type="dxa"/>
              <w:right w:w="100" w:type="dxa"/>
            </w:tcMar>
          </w:tcPr>
          <w:p>
            <w:pPr>
              <w:spacing w:before="40" w:after="40"/>
              <w:jc w:val="center"/>
            </w:pPr>
            <w:r>
              <w:rPr>
                <w:sz w:val="18"/>
              </w:rPr>
              <w:t>-12.81</w:t>
            </w:r>
          </w:p>
        </w:tc>
        <w:tc>
          <w:tcPr>
            <w:tcW w:type="dxa" w:w="1560"/>
            <w:vAlign w:val="center"/>
            <w:shd w:fill="F5F5F5"/>
            <w:tcMar>
              <w:top w:w="60" w:type="dxa"/>
              <w:bottom w:w="60" w:type="dxa"/>
              <w:left w:w="100" w:type="dxa"/>
              <w:right w:w="100" w:type="dxa"/>
            </w:tcMar>
          </w:tcPr>
          <w:p>
            <w:pPr>
              <w:spacing w:before="40" w:after="40"/>
              <w:jc w:val="center"/>
            </w:pPr>
            <w:r>
              <w:rPr>
                <w:sz w:val="18"/>
              </w:rPr>
              <w:t>-13.82</w:t>
            </w:r>
          </w:p>
        </w:tc>
      </w:tr>
      <w:tr>
        <w:tc>
          <w:tcPr>
            <w:tcW w:type="dxa" w:w="1560"/>
            <w:vAlign w:val="center"/>
            <w:shd w:fill="FFFFFF"/>
            <w:tcMar>
              <w:top w:w="60" w:type="dxa"/>
              <w:bottom w:w="60" w:type="dxa"/>
              <w:left w:w="100" w:type="dxa"/>
              <w:right w:w="100" w:type="dxa"/>
            </w:tcMar>
          </w:tcPr>
          <w:p>
            <w:pPr>
              <w:spacing w:before="40" w:after="40"/>
              <w:jc w:val="left"/>
            </w:pPr>
            <w:r>
              <w:rPr>
                <w:b/>
                <w:sz w:val="18"/>
              </w:rPr>
              <w:t>Exatecan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DB04982</w:t>
            </w:r>
          </w:p>
        </w:tc>
        <w:tc>
          <w:tcPr>
            <w:tcW w:type="dxa" w:w="1560"/>
            <w:vAlign w:val="center"/>
            <w:shd w:fill="FFFFFF"/>
            <w:tcMar>
              <w:top w:w="60" w:type="dxa"/>
              <w:bottom w:w="60" w:type="dxa"/>
              <w:left w:w="100" w:type="dxa"/>
              <w:right w:w="100" w:type="dxa"/>
            </w:tcMar>
          </w:tcPr>
          <w:p>
            <w:pPr>
              <w:spacing w:before="40" w:after="40"/>
              <w:jc w:val="center"/>
            </w:pPr>
            <w:r>
              <w:rPr>
                <w:sz w:val="18"/>
              </w:rPr>
              <w:t>-8.40</w:t>
            </w:r>
          </w:p>
        </w:tc>
        <w:tc>
          <w:tcPr>
            <w:tcW w:type="dxa" w:w="1560"/>
            <w:vAlign w:val="center"/>
            <w:shd w:fill="FFFFFF"/>
            <w:tcMar>
              <w:top w:w="60" w:type="dxa"/>
              <w:bottom w:w="60" w:type="dxa"/>
              <w:left w:w="100" w:type="dxa"/>
              <w:right w:w="100" w:type="dxa"/>
            </w:tcMar>
          </w:tcPr>
          <w:p>
            <w:pPr>
              <w:spacing w:before="40" w:after="40"/>
              <w:jc w:val="center"/>
            </w:pPr>
            <w:r>
              <w:rPr>
                <w:sz w:val="18"/>
              </w:rPr>
              <w:t>-12.35</w:t>
            </w:r>
          </w:p>
        </w:tc>
        <w:tc>
          <w:tcPr>
            <w:tcW w:type="dxa" w:w="1560"/>
            <w:vAlign w:val="center"/>
            <w:shd w:fill="FFFFFF"/>
            <w:tcMar>
              <w:top w:w="60" w:type="dxa"/>
              <w:bottom w:w="60" w:type="dxa"/>
              <w:left w:w="100" w:type="dxa"/>
              <w:right w:w="100" w:type="dxa"/>
            </w:tcMar>
          </w:tcPr>
          <w:p>
            <w:pPr>
              <w:spacing w:before="40" w:after="40"/>
              <w:jc w:val="center"/>
            </w:pPr>
            <w:r>
              <w:rPr>
                <w:sz w:val="18"/>
              </w:rPr>
              <w:t>-13.36</w:t>
            </w:r>
          </w:p>
        </w:tc>
      </w:tr>
      <w:tr>
        <w:tc>
          <w:tcPr>
            <w:tcW w:type="dxa" w:w="1560"/>
            <w:vAlign w:val="center"/>
            <w:shd w:fill="F5F5F5"/>
            <w:tcMar>
              <w:top w:w="60" w:type="dxa"/>
              <w:bottom w:w="60" w:type="dxa"/>
              <w:left w:w="100" w:type="dxa"/>
              <w:right w:w="100" w:type="dxa"/>
            </w:tcMar>
          </w:tcPr>
          <w:p>
            <w:pPr>
              <w:spacing w:before="40" w:after="40"/>
              <w:jc w:val="left"/>
            </w:pPr>
            <w:r>
              <w:rPr>
                <w:b/>
                <w:sz w:val="18"/>
              </w:rPr>
              <w:t>Palbociclib</w:t>
            </w:r>
          </w:p>
        </w:tc>
        <w:tc>
          <w:tcPr>
            <w:tcW w:type="dxa" w:w="1560"/>
            <w:vAlign w:val="center"/>
            <w:shd w:fill="F5F5F5"/>
            <w:tcMar>
              <w:top w:w="60" w:type="dxa"/>
              <w:bottom w:w="60" w:type="dxa"/>
              <w:left w:w="100" w:type="dxa"/>
              <w:right w:w="100" w:type="dxa"/>
            </w:tcMar>
          </w:tcPr>
          <w:p>
            <w:pPr>
              <w:spacing w:before="40" w:after="40"/>
              <w:jc w:val="left"/>
            </w:pPr>
            <w:r>
              <w:rPr>
                <w:sz w:val="18"/>
              </w:rPr>
              <w:t>CDK4/6 Inhibitor</w:t>
            </w:r>
          </w:p>
        </w:tc>
        <w:tc>
          <w:tcPr>
            <w:tcW w:type="dxa" w:w="1560"/>
            <w:vAlign w:val="center"/>
            <w:shd w:fill="F5F5F5"/>
            <w:tcMar>
              <w:top w:w="60" w:type="dxa"/>
              <w:bottom w:w="60" w:type="dxa"/>
              <w:left w:w="100" w:type="dxa"/>
              <w:right w:w="100" w:type="dxa"/>
            </w:tcMar>
          </w:tcPr>
          <w:p>
            <w:pPr>
              <w:spacing w:before="40" w:after="40"/>
              <w:jc w:val="left"/>
            </w:pPr>
            <w:r>
              <w:rPr>
                <w:sz w:val="18"/>
              </w:rPr>
              <w:t>DB09073</w:t>
            </w:r>
          </w:p>
        </w:tc>
        <w:tc>
          <w:tcPr>
            <w:tcW w:type="dxa" w:w="1560"/>
            <w:vAlign w:val="center"/>
            <w:shd w:fill="F5F5F5"/>
            <w:tcMar>
              <w:top w:w="60" w:type="dxa"/>
              <w:bottom w:w="60" w:type="dxa"/>
              <w:left w:w="100" w:type="dxa"/>
              <w:right w:w="100" w:type="dxa"/>
            </w:tcMar>
          </w:tcPr>
          <w:p>
            <w:pPr>
              <w:spacing w:before="40" w:after="40"/>
              <w:jc w:val="center"/>
            </w:pPr>
            <w:r>
              <w:rPr>
                <w:sz w:val="18"/>
              </w:rPr>
              <w:t>-8.17</w:t>
            </w:r>
          </w:p>
        </w:tc>
        <w:tc>
          <w:tcPr>
            <w:tcW w:type="dxa" w:w="1560"/>
            <w:vAlign w:val="center"/>
            <w:shd w:fill="F5F5F5"/>
            <w:tcMar>
              <w:top w:w="60" w:type="dxa"/>
              <w:bottom w:w="60" w:type="dxa"/>
              <w:left w:w="100" w:type="dxa"/>
              <w:right w:w="100" w:type="dxa"/>
            </w:tcMar>
          </w:tcPr>
          <w:p>
            <w:pPr>
              <w:spacing w:before="40" w:after="40"/>
              <w:jc w:val="center"/>
            </w:pPr>
            <w:r>
              <w:rPr>
                <w:sz w:val="18"/>
              </w:rPr>
              <w:t>-12.18</w:t>
            </w:r>
          </w:p>
        </w:tc>
        <w:tc>
          <w:tcPr>
            <w:tcW w:type="dxa" w:w="1560"/>
            <w:vAlign w:val="center"/>
            <w:shd w:fill="F5F5F5"/>
            <w:tcMar>
              <w:top w:w="60" w:type="dxa"/>
              <w:bottom w:w="60" w:type="dxa"/>
              <w:left w:w="100" w:type="dxa"/>
              <w:right w:w="100" w:type="dxa"/>
            </w:tcMar>
          </w:tcPr>
          <w:p>
            <w:pPr>
              <w:spacing w:before="40" w:after="40"/>
              <w:jc w:val="center"/>
            </w:pPr>
            <w:r>
              <w:rPr>
                <w:sz w:val="18"/>
              </w:rPr>
              <w:t>-13.19</w:t>
            </w:r>
          </w:p>
        </w:tc>
      </w:tr>
      <w:tr>
        <w:tc>
          <w:tcPr>
            <w:tcW w:type="dxa" w:w="1560"/>
            <w:vAlign w:val="center"/>
            <w:shd w:fill="FFFFFF"/>
            <w:tcMar>
              <w:top w:w="60" w:type="dxa"/>
              <w:bottom w:w="60" w:type="dxa"/>
              <w:left w:w="100" w:type="dxa"/>
              <w:right w:w="100" w:type="dxa"/>
            </w:tcMar>
          </w:tcPr>
          <w:p>
            <w:pPr>
              <w:spacing w:before="40" w:after="40"/>
              <w:jc w:val="left"/>
            </w:pPr>
            <w:r>
              <w:rPr>
                <w:b/>
                <w:sz w:val="18"/>
              </w:rPr>
              <w:t>Alpelisib</w:t>
            </w:r>
          </w:p>
        </w:tc>
        <w:tc>
          <w:tcPr>
            <w:tcW w:type="dxa" w:w="1560"/>
            <w:vAlign w:val="center"/>
            <w:shd w:fill="FFFFFF"/>
            <w:tcMar>
              <w:top w:w="60" w:type="dxa"/>
              <w:bottom w:w="60" w:type="dxa"/>
              <w:left w:w="100" w:type="dxa"/>
              <w:right w:w="100" w:type="dxa"/>
            </w:tcMar>
          </w:tcPr>
          <w:p>
            <w:pPr>
              <w:spacing w:before="40" w:after="40"/>
              <w:jc w:val="left"/>
            </w:pPr>
            <w:r>
              <w:rPr>
                <w:sz w:val="18"/>
              </w:rPr>
              <w:t>PI3Kα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-8.01</w:t>
            </w:r>
          </w:p>
        </w:tc>
        <w:tc>
          <w:tcPr>
            <w:tcW w:type="dxa" w:w="1560"/>
            <w:vAlign w:val="center"/>
            <w:shd w:fill="FFFFFF"/>
            <w:tcMar>
              <w:top w:w="60" w:type="dxa"/>
              <w:bottom w:w="60" w:type="dxa"/>
              <w:left w:w="100" w:type="dxa"/>
              <w:right w:w="100" w:type="dxa"/>
            </w:tcMar>
          </w:tcPr>
          <w:p>
            <w:pPr>
              <w:spacing w:before="40" w:after="40"/>
              <w:jc w:val="center"/>
            </w:pPr>
            <w:r>
              <w:rPr>
                <w:sz w:val="18"/>
              </w:rPr>
              <w:t>-12.02</w:t>
            </w:r>
          </w:p>
        </w:tc>
        <w:tc>
          <w:tcPr>
            <w:tcW w:type="dxa" w:w="1560"/>
            <w:vAlign w:val="center"/>
            <w:shd w:fill="FFFFFF"/>
            <w:tcMar>
              <w:top w:w="60" w:type="dxa"/>
              <w:bottom w:w="60" w:type="dxa"/>
              <w:left w:w="100" w:type="dxa"/>
              <w:right w:w="100" w:type="dxa"/>
            </w:tcMar>
          </w:tcPr>
          <w:p>
            <w:pPr>
              <w:spacing w:before="40" w:after="40"/>
              <w:jc w:val="center"/>
            </w:pPr>
            <w:r>
              <w:rPr>
                <w:sz w:val="18"/>
              </w:rPr>
              <w:t>-13.03</w:t>
            </w:r>
          </w:p>
        </w:tc>
      </w:tr>
      <w:tr>
        <w:tc>
          <w:tcPr>
            <w:tcW w:type="dxa" w:w="1560"/>
            <w:vAlign w:val="center"/>
            <w:shd w:fill="F5F5F5"/>
            <w:tcMar>
              <w:top w:w="60" w:type="dxa"/>
              <w:bottom w:w="60" w:type="dxa"/>
              <w:left w:w="100" w:type="dxa"/>
              <w:right w:w="100" w:type="dxa"/>
            </w:tcMar>
          </w:tcPr>
          <w:p>
            <w:pPr>
              <w:spacing w:before="40" w:after="40"/>
              <w:jc w:val="left"/>
            </w:pPr>
            <w:r>
              <w:rPr>
                <w:b/>
                <w:sz w:val="18"/>
              </w:rPr>
              <w:t>Talazoparib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DB11760</w:t>
            </w:r>
          </w:p>
        </w:tc>
        <w:tc>
          <w:tcPr>
            <w:tcW w:type="dxa" w:w="1560"/>
            <w:vAlign w:val="center"/>
            <w:shd w:fill="F5F5F5"/>
            <w:tcMar>
              <w:top w:w="60" w:type="dxa"/>
              <w:bottom w:w="60" w:type="dxa"/>
              <w:left w:w="100" w:type="dxa"/>
              <w:right w:w="100" w:type="dxa"/>
            </w:tcMar>
          </w:tcPr>
          <w:p>
            <w:pPr>
              <w:spacing w:before="40" w:after="40"/>
              <w:jc w:val="center"/>
            </w:pPr>
            <w:r>
              <w:rPr>
                <w:sz w:val="18"/>
              </w:rPr>
              <w:t>-7.89</w:t>
            </w:r>
          </w:p>
        </w:tc>
        <w:tc>
          <w:tcPr>
            <w:tcW w:type="dxa" w:w="1560"/>
            <w:vAlign w:val="center"/>
            <w:shd w:fill="F5F5F5"/>
            <w:tcMar>
              <w:top w:w="60" w:type="dxa"/>
              <w:bottom w:w="60" w:type="dxa"/>
              <w:left w:w="100" w:type="dxa"/>
              <w:right w:w="100" w:type="dxa"/>
            </w:tcMar>
          </w:tcPr>
          <w:p>
            <w:pPr>
              <w:spacing w:before="40" w:after="40"/>
              <w:jc w:val="center"/>
            </w:pPr>
            <w:r>
              <w:rPr>
                <w:sz w:val="18"/>
              </w:rPr>
              <w:t>-11.93</w:t>
            </w:r>
          </w:p>
        </w:tc>
        <w:tc>
          <w:tcPr>
            <w:tcW w:type="dxa" w:w="1560"/>
            <w:vAlign w:val="center"/>
            <w:shd w:fill="F5F5F5"/>
            <w:tcMar>
              <w:top w:w="60" w:type="dxa"/>
              <w:bottom w:w="60" w:type="dxa"/>
              <w:left w:w="100" w:type="dxa"/>
              <w:right w:w="100" w:type="dxa"/>
            </w:tcMar>
          </w:tcPr>
          <w:p>
            <w:pPr>
              <w:spacing w:before="40" w:after="40"/>
              <w:jc w:val="center"/>
            </w:pPr>
            <w:r>
              <w:rPr>
                <w:sz w:val="18"/>
              </w:rPr>
              <w:t>-12.94</w:t>
            </w:r>
          </w:p>
        </w:tc>
      </w:tr>
      <w:tr>
        <w:tc>
          <w:tcPr>
            <w:tcW w:type="dxa" w:w="1560"/>
            <w:vAlign w:val="center"/>
            <w:shd w:fill="FFFFFF"/>
            <w:tcMar>
              <w:top w:w="60" w:type="dxa"/>
              <w:bottom w:w="60" w:type="dxa"/>
              <w:left w:w="100" w:type="dxa"/>
              <w:right w:w="100" w:type="dxa"/>
            </w:tcMar>
          </w:tcPr>
          <w:p>
            <w:pPr>
              <w:spacing w:before="40" w:after="40"/>
              <w:jc w:val="left"/>
            </w:pPr>
            <w:r>
              <w:rPr>
                <w:b/>
                <w:sz w:val="18"/>
              </w:rPr>
              <w:t>Topotecan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DB01030</w:t>
            </w:r>
          </w:p>
        </w:tc>
        <w:tc>
          <w:tcPr>
            <w:tcW w:type="dxa" w:w="1560"/>
            <w:vAlign w:val="center"/>
            <w:shd w:fill="FFFFFF"/>
            <w:tcMar>
              <w:top w:w="60" w:type="dxa"/>
              <w:bottom w:w="60" w:type="dxa"/>
              <w:left w:w="100" w:type="dxa"/>
              <w:right w:w="100" w:type="dxa"/>
            </w:tcMar>
          </w:tcPr>
          <w:p>
            <w:pPr>
              <w:spacing w:before="40" w:after="40"/>
              <w:jc w:val="center"/>
            </w:pPr>
            <w:r>
              <w:rPr>
                <w:sz w:val="18"/>
              </w:rPr>
              <w:t>-7.84</w:t>
            </w:r>
          </w:p>
        </w:tc>
        <w:tc>
          <w:tcPr>
            <w:tcW w:type="dxa" w:w="1560"/>
            <w:vAlign w:val="center"/>
            <w:shd w:fill="FFFFFF"/>
            <w:tcMar>
              <w:top w:w="60" w:type="dxa"/>
              <w:bottom w:w="60" w:type="dxa"/>
              <w:left w:w="100" w:type="dxa"/>
              <w:right w:w="100" w:type="dxa"/>
            </w:tcMar>
          </w:tcPr>
          <w:p>
            <w:pPr>
              <w:spacing w:before="40" w:after="40"/>
              <w:jc w:val="center"/>
            </w:pPr>
            <w:r>
              <w:rPr>
                <w:sz w:val="18"/>
              </w:rPr>
              <w:t>-11.85</w:t>
            </w:r>
          </w:p>
        </w:tc>
        <w:tc>
          <w:tcPr>
            <w:tcW w:type="dxa" w:w="1560"/>
            <w:vAlign w:val="center"/>
            <w:shd w:fill="FFFFFF"/>
            <w:tcMar>
              <w:top w:w="60" w:type="dxa"/>
              <w:bottom w:w="60" w:type="dxa"/>
              <w:left w:w="100" w:type="dxa"/>
              <w:right w:w="100" w:type="dxa"/>
            </w:tcMar>
          </w:tcPr>
          <w:p>
            <w:pPr>
              <w:spacing w:before="40" w:after="40"/>
              <w:jc w:val="center"/>
            </w:pPr>
            <w:r>
              <w:rPr>
                <w:sz w:val="18"/>
              </w:rPr>
              <w:t>-12.86</w:t>
            </w:r>
          </w:p>
        </w:tc>
      </w:tr>
      <w:tr>
        <w:tc>
          <w:tcPr>
            <w:tcW w:type="dxa" w:w="1560"/>
            <w:vAlign w:val="center"/>
            <w:shd w:fill="F5F5F5"/>
            <w:tcMar>
              <w:top w:w="60" w:type="dxa"/>
              <w:bottom w:w="60" w:type="dxa"/>
              <w:left w:w="100" w:type="dxa"/>
              <w:right w:w="100" w:type="dxa"/>
            </w:tcMar>
          </w:tcPr>
          <w:p>
            <w:pPr>
              <w:spacing w:before="40" w:after="40"/>
              <w:jc w:val="left"/>
            </w:pPr>
            <w:r>
              <w:rPr>
                <w:b/>
                <w:sz w:val="18"/>
              </w:rPr>
              <w:t>Etoposide</w:t>
            </w:r>
          </w:p>
        </w:tc>
        <w:tc>
          <w:tcPr>
            <w:tcW w:type="dxa" w:w="1560"/>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DB00773</w:t>
            </w:r>
          </w:p>
        </w:tc>
        <w:tc>
          <w:tcPr>
            <w:tcW w:type="dxa" w:w="1560"/>
            <w:vAlign w:val="center"/>
            <w:shd w:fill="F5F5F5"/>
            <w:tcMar>
              <w:top w:w="60" w:type="dxa"/>
              <w:bottom w:w="60" w:type="dxa"/>
              <w:left w:w="100" w:type="dxa"/>
              <w:right w:w="100" w:type="dxa"/>
            </w:tcMar>
          </w:tcPr>
          <w:p>
            <w:pPr>
              <w:spacing w:before="40" w:after="40"/>
              <w:jc w:val="center"/>
            </w:pPr>
            <w:r>
              <w:rPr>
                <w:sz w:val="18"/>
              </w:rPr>
              <w:t>-7.79</w:t>
            </w:r>
          </w:p>
        </w:tc>
        <w:tc>
          <w:tcPr>
            <w:tcW w:type="dxa" w:w="1560"/>
            <w:vAlign w:val="center"/>
            <w:shd w:fill="F5F5F5"/>
            <w:tcMar>
              <w:top w:w="60" w:type="dxa"/>
              <w:bottom w:w="60" w:type="dxa"/>
              <w:left w:w="100" w:type="dxa"/>
              <w:right w:w="100" w:type="dxa"/>
            </w:tcMar>
          </w:tcPr>
          <w:p>
            <w:pPr>
              <w:spacing w:before="40" w:after="40"/>
              <w:jc w:val="center"/>
            </w:pPr>
            <w:r>
              <w:rPr>
                <w:sz w:val="18"/>
              </w:rPr>
              <w:t>-11.77</w:t>
            </w:r>
          </w:p>
        </w:tc>
        <w:tc>
          <w:tcPr>
            <w:tcW w:type="dxa" w:w="1560"/>
            <w:vAlign w:val="center"/>
            <w:shd w:fill="F5F5F5"/>
            <w:tcMar>
              <w:top w:w="60" w:type="dxa"/>
              <w:bottom w:w="60" w:type="dxa"/>
              <w:left w:w="100" w:type="dxa"/>
              <w:right w:w="100" w:type="dxa"/>
            </w:tcMar>
          </w:tcPr>
          <w:p>
            <w:pPr>
              <w:spacing w:before="40" w:after="40"/>
              <w:jc w:val="center"/>
            </w:pPr>
            <w:r>
              <w:rPr>
                <w:sz w:val="18"/>
              </w:rPr>
              <w:t>-12.78</w:t>
            </w:r>
          </w:p>
        </w:tc>
      </w:tr>
      <w:tr>
        <w:tc>
          <w:tcPr>
            <w:tcW w:type="dxa" w:w="1560"/>
            <w:vAlign w:val="center"/>
            <w:shd w:fill="FFFFFF"/>
            <w:tcMar>
              <w:top w:w="60" w:type="dxa"/>
              <w:bottom w:w="60" w:type="dxa"/>
              <w:left w:w="100" w:type="dxa"/>
              <w:right w:w="100" w:type="dxa"/>
            </w:tcMar>
          </w:tcPr>
          <w:p>
            <w:pPr>
              <w:spacing w:before="40" w:after="40"/>
              <w:jc w:val="left"/>
            </w:pPr>
            <w:r>
              <w:rPr>
                <w:b/>
                <w:sz w:val="18"/>
              </w:rPr>
              <w:t>Idarubicin</w:t>
            </w:r>
          </w:p>
        </w:tc>
        <w:tc>
          <w:tcPr>
            <w:tcW w:type="dxa" w:w="1560"/>
            <w:vAlign w:val="center"/>
            <w:shd w:fill="FFFFFF"/>
            <w:tcMar>
              <w:top w:w="60" w:type="dxa"/>
              <w:bottom w:w="60" w:type="dxa"/>
              <w:left w:w="100" w:type="dxa"/>
              <w:right w:w="100" w:type="dxa"/>
            </w:tcMar>
          </w:tcPr>
          <w:p>
            <w:pPr>
              <w:spacing w:before="40" w:after="40"/>
              <w:jc w:val="left"/>
            </w:pPr>
            <w:r>
              <w:rPr>
                <w:sz w:val="18"/>
              </w:rPr>
              <w:t>Anthracycline</w:t>
            </w:r>
          </w:p>
        </w:tc>
        <w:tc>
          <w:tcPr>
            <w:tcW w:type="dxa" w:w="1560"/>
            <w:vAlign w:val="center"/>
            <w:shd w:fill="FFFFFF"/>
            <w:tcMar>
              <w:top w:w="60" w:type="dxa"/>
              <w:bottom w:w="60" w:type="dxa"/>
              <w:left w:w="100" w:type="dxa"/>
              <w:right w:w="100" w:type="dxa"/>
            </w:tcMar>
          </w:tcPr>
          <w:p>
            <w:pPr>
              <w:spacing w:before="40" w:after="40"/>
              <w:jc w:val="left"/>
            </w:pPr>
            <w:r>
              <w:rPr>
                <w:sz w:val="18"/>
              </w:rPr>
              <w:t>DB00642</w:t>
            </w:r>
          </w:p>
        </w:tc>
        <w:tc>
          <w:tcPr>
            <w:tcW w:type="dxa" w:w="1560"/>
            <w:vAlign w:val="center"/>
            <w:shd w:fill="FFFFFF"/>
            <w:tcMar>
              <w:top w:w="60" w:type="dxa"/>
              <w:bottom w:w="60" w:type="dxa"/>
              <w:left w:w="100" w:type="dxa"/>
              <w:right w:w="100" w:type="dxa"/>
            </w:tcMar>
          </w:tcPr>
          <w:p>
            <w:pPr>
              <w:spacing w:before="40" w:after="40"/>
              <w:jc w:val="center"/>
            </w:pPr>
            <w:r>
              <w:rPr>
                <w:sz w:val="18"/>
              </w:rPr>
              <w:t>-7.94</w:t>
            </w:r>
          </w:p>
        </w:tc>
        <w:tc>
          <w:tcPr>
            <w:tcW w:type="dxa" w:w="1560"/>
            <w:vAlign w:val="center"/>
            <w:shd w:fill="FFFFFF"/>
            <w:tcMar>
              <w:top w:w="60" w:type="dxa"/>
              <w:bottom w:w="60" w:type="dxa"/>
              <w:left w:w="100" w:type="dxa"/>
              <w:right w:w="100" w:type="dxa"/>
            </w:tcMar>
          </w:tcPr>
          <w:p>
            <w:pPr>
              <w:spacing w:before="40" w:after="40"/>
              <w:jc w:val="center"/>
            </w:pPr>
            <w:r>
              <w:rPr>
                <w:sz w:val="18"/>
              </w:rPr>
              <w:t>-11.95</w:t>
            </w:r>
          </w:p>
        </w:tc>
        <w:tc>
          <w:tcPr>
            <w:tcW w:type="dxa" w:w="1560"/>
            <w:vAlign w:val="center"/>
            <w:shd w:fill="FFFFFF"/>
            <w:tcMar>
              <w:top w:w="60" w:type="dxa"/>
              <w:bottom w:w="60" w:type="dxa"/>
              <w:left w:w="100" w:type="dxa"/>
              <w:right w:w="100" w:type="dxa"/>
            </w:tcMar>
          </w:tcPr>
          <w:p>
            <w:pPr>
              <w:spacing w:before="40" w:after="40"/>
              <w:jc w:val="center"/>
            </w:pPr>
            <w:r>
              <w:rPr>
                <w:sz w:val="18"/>
              </w:rPr>
              <w:t>-12.96</w:t>
            </w:r>
          </w:p>
        </w:tc>
      </w:tr>
      <w:tr>
        <w:tc>
          <w:tcPr>
            <w:tcW w:type="dxa" w:w="1560"/>
            <w:vAlign w:val="center"/>
            <w:shd w:fill="F5F5F5"/>
            <w:tcMar>
              <w:top w:w="60" w:type="dxa"/>
              <w:bottom w:w="60" w:type="dxa"/>
              <w:left w:w="100" w:type="dxa"/>
              <w:right w:w="100" w:type="dxa"/>
            </w:tcMar>
          </w:tcPr>
          <w:p>
            <w:pPr>
              <w:spacing w:before="40" w:after="40"/>
              <w:jc w:val="left"/>
            </w:pPr>
            <w:r>
              <w:rPr>
                <w:b/>
                <w:sz w:val="18"/>
              </w:rPr>
              <w:t>Doxorubicin</w:t>
            </w:r>
          </w:p>
        </w:tc>
        <w:tc>
          <w:tcPr>
            <w:tcW w:type="dxa" w:w="1560"/>
            <w:vAlign w:val="center"/>
            <w:shd w:fill="F5F5F5"/>
            <w:tcMar>
              <w:top w:w="60" w:type="dxa"/>
              <w:bottom w:w="60" w:type="dxa"/>
              <w:left w:w="100" w:type="dxa"/>
              <w:right w:w="100" w:type="dxa"/>
            </w:tcMar>
          </w:tcPr>
          <w:p>
            <w:pPr>
              <w:spacing w:before="40" w:after="40"/>
              <w:jc w:val="left"/>
            </w:pPr>
            <w:r>
              <w:rPr>
                <w:sz w:val="18"/>
              </w:rPr>
              <w:t>Anthracycline</w:t>
            </w:r>
          </w:p>
        </w:tc>
        <w:tc>
          <w:tcPr>
            <w:tcW w:type="dxa" w:w="1560"/>
            <w:vAlign w:val="center"/>
            <w:shd w:fill="F5F5F5"/>
            <w:tcMar>
              <w:top w:w="60" w:type="dxa"/>
              <w:bottom w:w="60" w:type="dxa"/>
              <w:left w:w="100" w:type="dxa"/>
              <w:right w:w="100" w:type="dxa"/>
            </w:tcMar>
          </w:tcPr>
          <w:p>
            <w:pPr>
              <w:spacing w:before="40" w:after="40"/>
              <w:jc w:val="left"/>
            </w:pPr>
            <w:r>
              <w:rPr>
                <w:sz w:val="18"/>
              </w:rPr>
              <w:t>DB00997</w:t>
            </w:r>
          </w:p>
        </w:tc>
        <w:tc>
          <w:tcPr>
            <w:tcW w:type="dxa" w:w="1560"/>
            <w:vAlign w:val="center"/>
            <w:shd w:fill="F5F5F5"/>
            <w:tcMar>
              <w:top w:w="60" w:type="dxa"/>
              <w:bottom w:w="60" w:type="dxa"/>
              <w:left w:w="100" w:type="dxa"/>
              <w:right w:w="100" w:type="dxa"/>
            </w:tcMar>
          </w:tcPr>
          <w:p>
            <w:pPr>
              <w:spacing w:before="40" w:after="40"/>
              <w:jc w:val="center"/>
            </w:pPr>
            <w:r>
              <w:rPr>
                <w:sz w:val="18"/>
              </w:rPr>
              <w:t>-7.34</w:t>
            </w:r>
          </w:p>
        </w:tc>
        <w:tc>
          <w:tcPr>
            <w:tcW w:type="dxa" w:w="1560"/>
            <w:vAlign w:val="center"/>
            <w:shd w:fill="F5F5F5"/>
            <w:tcMar>
              <w:top w:w="60" w:type="dxa"/>
              <w:bottom w:w="60" w:type="dxa"/>
              <w:left w:w="100" w:type="dxa"/>
              <w:right w:w="100" w:type="dxa"/>
            </w:tcMar>
          </w:tcPr>
          <w:p>
            <w:pPr>
              <w:spacing w:before="40" w:after="40"/>
              <w:jc w:val="center"/>
            </w:pPr>
            <w:r>
              <w:rPr>
                <w:sz w:val="18"/>
              </w:rPr>
              <w:t>-11.35</w:t>
            </w:r>
          </w:p>
        </w:tc>
        <w:tc>
          <w:tcPr>
            <w:tcW w:type="dxa" w:w="1560"/>
            <w:vAlign w:val="center"/>
            <w:shd w:fill="F5F5F5"/>
            <w:tcMar>
              <w:top w:w="60" w:type="dxa"/>
              <w:bottom w:w="60" w:type="dxa"/>
              <w:left w:w="100" w:type="dxa"/>
              <w:right w:w="100" w:type="dxa"/>
            </w:tcMar>
          </w:tcPr>
          <w:p>
            <w:pPr>
              <w:spacing w:before="40" w:after="40"/>
              <w:jc w:val="center"/>
            </w:pPr>
            <w:r>
              <w:rPr>
                <w:sz w:val="18"/>
              </w:rPr>
              <w:t>-12.36</w:t>
            </w:r>
          </w:p>
        </w:tc>
      </w:tr>
      <w:tr>
        <w:tc>
          <w:tcPr>
            <w:tcW w:type="dxa" w:w="1560"/>
            <w:vAlign w:val="center"/>
            <w:shd w:fill="FFFFFF"/>
            <w:tcMar>
              <w:top w:w="60" w:type="dxa"/>
              <w:bottom w:w="60" w:type="dxa"/>
              <w:left w:w="100" w:type="dxa"/>
              <w:right w:w="100" w:type="dxa"/>
            </w:tcMar>
          </w:tcPr>
          <w:p>
            <w:pPr>
              <w:spacing w:before="40" w:after="40"/>
              <w:jc w:val="left"/>
            </w:pPr>
            <w:r>
              <w:rPr>
                <w:b/>
                <w:sz w:val="18"/>
              </w:rPr>
              <w:t>Gemcitabine</w:t>
            </w:r>
          </w:p>
        </w:tc>
        <w:tc>
          <w:tcPr>
            <w:tcW w:type="dxa" w:w="1560"/>
            <w:vAlign w:val="center"/>
            <w:shd w:fill="FFFFFF"/>
            <w:tcMar>
              <w:top w:w="60" w:type="dxa"/>
              <w:bottom w:w="60" w:type="dxa"/>
              <w:left w:w="100" w:type="dxa"/>
              <w:right w:w="100" w:type="dxa"/>
            </w:tcMar>
          </w:tcPr>
          <w:p>
            <w:pPr>
              <w:spacing w:before="40" w:after="40"/>
              <w:jc w:val="left"/>
            </w:pPr>
            <w:r>
              <w:rPr>
                <w:sz w:val="18"/>
              </w:rPr>
              <w:t>Antimetabolite</w:t>
            </w:r>
          </w:p>
        </w:tc>
        <w:tc>
          <w:tcPr>
            <w:tcW w:type="dxa" w:w="1560"/>
            <w:vAlign w:val="center"/>
            <w:shd w:fill="FFFFFF"/>
            <w:tcMar>
              <w:top w:w="60" w:type="dxa"/>
              <w:bottom w:w="60" w:type="dxa"/>
              <w:left w:w="100" w:type="dxa"/>
              <w:right w:w="100" w:type="dxa"/>
            </w:tcMar>
          </w:tcPr>
          <w:p>
            <w:pPr>
              <w:spacing w:before="40" w:after="40"/>
              <w:jc w:val="left"/>
            </w:pPr>
            <w:r>
              <w:rPr>
                <w:sz w:val="18"/>
              </w:rPr>
              <w:t>DB00441</w:t>
            </w:r>
          </w:p>
        </w:tc>
        <w:tc>
          <w:tcPr>
            <w:tcW w:type="dxa" w:w="1560"/>
            <w:vAlign w:val="center"/>
            <w:shd w:fill="FFFFFF"/>
            <w:tcMar>
              <w:top w:w="60" w:type="dxa"/>
              <w:bottom w:w="60" w:type="dxa"/>
              <w:left w:w="100" w:type="dxa"/>
              <w:right w:w="100" w:type="dxa"/>
            </w:tcMar>
          </w:tcPr>
          <w:p>
            <w:pPr>
              <w:spacing w:before="40" w:after="40"/>
              <w:jc w:val="center"/>
            </w:pPr>
            <w:r>
              <w:rPr>
                <w:sz w:val="18"/>
              </w:rPr>
              <w:t>-5.34</w:t>
            </w:r>
          </w:p>
        </w:tc>
        <w:tc>
          <w:tcPr>
            <w:tcW w:type="dxa" w:w="1560"/>
            <w:vAlign w:val="center"/>
            <w:shd w:fill="FFFFFF"/>
            <w:tcMar>
              <w:top w:w="60" w:type="dxa"/>
              <w:bottom w:w="60" w:type="dxa"/>
              <w:left w:w="100" w:type="dxa"/>
              <w:right w:w="100" w:type="dxa"/>
            </w:tcMar>
          </w:tcPr>
          <w:p>
            <w:pPr>
              <w:spacing w:before="40" w:after="40"/>
              <w:jc w:val="center"/>
            </w:pPr>
            <w:r>
              <w:rPr>
                <w:sz w:val="18"/>
              </w:rPr>
              <w:t>-9.05</w:t>
            </w:r>
          </w:p>
        </w:tc>
        <w:tc>
          <w:tcPr>
            <w:tcW w:type="dxa" w:w="1560"/>
            <w:vAlign w:val="center"/>
            <w:shd w:fill="FFFFFF"/>
            <w:tcMar>
              <w:top w:w="60" w:type="dxa"/>
              <w:bottom w:w="60" w:type="dxa"/>
              <w:left w:w="100" w:type="dxa"/>
              <w:right w:w="100" w:type="dxa"/>
            </w:tcMar>
          </w:tcPr>
          <w:p>
            <w:pPr>
              <w:spacing w:before="40" w:after="40"/>
              <w:jc w:val="center"/>
            </w:pPr>
            <w:r>
              <w:rPr>
                <w:sz w:val="18"/>
              </w:rPr>
              <w:t>-10.06</w:t>
            </w:r>
          </w:p>
        </w:tc>
      </w:tr>
      <w:tr>
        <w:tc>
          <w:tcPr>
            <w:tcW w:type="dxa" w:w="1560"/>
            <w:vAlign w:val="center"/>
            <w:shd w:fill="F5F5F5"/>
            <w:tcMar>
              <w:top w:w="60" w:type="dxa"/>
              <w:bottom w:w="60" w:type="dxa"/>
              <w:left w:w="100" w:type="dxa"/>
              <w:right w:w="100" w:type="dxa"/>
            </w:tcMar>
          </w:tcPr>
          <w:p>
            <w:pPr>
              <w:spacing w:before="40" w:after="40"/>
              <w:jc w:val="left"/>
            </w:pPr>
            <w:r>
              <w:rPr>
                <w:b/>
                <w:sz w:val="18"/>
              </w:rPr>
              <w:t>5-Fluorouracil</w:t>
            </w:r>
          </w:p>
        </w:tc>
        <w:tc>
          <w:tcPr>
            <w:tcW w:type="dxa" w:w="1560"/>
            <w:vAlign w:val="center"/>
            <w:shd w:fill="F5F5F5"/>
            <w:tcMar>
              <w:top w:w="60" w:type="dxa"/>
              <w:bottom w:w="60" w:type="dxa"/>
              <w:left w:w="100" w:type="dxa"/>
              <w:right w:w="100" w:type="dxa"/>
            </w:tcMar>
          </w:tcPr>
          <w:p>
            <w:pPr>
              <w:spacing w:before="40" w:after="40"/>
              <w:jc w:val="left"/>
            </w:pPr>
            <w:r>
              <w:rPr>
                <w:sz w:val="18"/>
              </w:rPr>
              <w:t>Antimetabolite</w:t>
            </w:r>
          </w:p>
        </w:tc>
        <w:tc>
          <w:tcPr>
            <w:tcW w:type="dxa" w:w="1560"/>
            <w:vAlign w:val="center"/>
            <w:shd w:fill="F5F5F5"/>
            <w:tcMar>
              <w:top w:w="60" w:type="dxa"/>
              <w:bottom w:w="60" w:type="dxa"/>
              <w:left w:w="100" w:type="dxa"/>
              <w:right w:w="100" w:type="dxa"/>
            </w:tcMar>
          </w:tcPr>
          <w:p>
            <w:pPr>
              <w:spacing w:before="40" w:after="40"/>
              <w:jc w:val="left"/>
            </w:pPr>
            <w:r>
              <w:rPr>
                <w:sz w:val="18"/>
              </w:rPr>
              <w:t>DB00544</w:t>
            </w:r>
          </w:p>
        </w:tc>
        <w:tc>
          <w:tcPr>
            <w:tcW w:type="dxa" w:w="1560"/>
            <w:vAlign w:val="center"/>
            <w:shd w:fill="F5F5F5"/>
            <w:tcMar>
              <w:top w:w="60" w:type="dxa"/>
              <w:bottom w:w="60" w:type="dxa"/>
              <w:left w:w="100" w:type="dxa"/>
              <w:right w:w="100" w:type="dxa"/>
            </w:tcMar>
          </w:tcPr>
          <w:p>
            <w:pPr>
              <w:spacing w:before="40" w:after="40"/>
              <w:jc w:val="center"/>
            </w:pPr>
            <w:r>
              <w:rPr>
                <w:sz w:val="18"/>
              </w:rPr>
              <w:t>-3.98</w:t>
            </w:r>
          </w:p>
        </w:tc>
        <w:tc>
          <w:tcPr>
            <w:tcW w:type="dxa" w:w="1560"/>
            <w:vAlign w:val="center"/>
            <w:shd w:fill="F5F5F5"/>
            <w:tcMar>
              <w:top w:w="60" w:type="dxa"/>
              <w:bottom w:w="60" w:type="dxa"/>
              <w:left w:w="100" w:type="dxa"/>
              <w:right w:w="100" w:type="dxa"/>
            </w:tcMar>
          </w:tcPr>
          <w:p>
            <w:pPr>
              <w:spacing w:before="40" w:after="40"/>
              <w:jc w:val="center"/>
            </w:pPr>
            <w:r>
              <w:rPr>
                <w:sz w:val="18"/>
              </w:rPr>
              <w:t>-7.37</w:t>
            </w:r>
          </w:p>
        </w:tc>
        <w:tc>
          <w:tcPr>
            <w:tcW w:type="dxa" w:w="1560"/>
            <w:vAlign w:val="center"/>
            <w:shd w:fill="F5F5F5"/>
            <w:tcMar>
              <w:top w:w="60" w:type="dxa"/>
              <w:bottom w:w="60" w:type="dxa"/>
              <w:left w:w="100" w:type="dxa"/>
              <w:right w:w="100" w:type="dxa"/>
            </w:tcMar>
          </w:tcPr>
          <w:p>
            <w:pPr>
              <w:spacing w:before="40" w:after="40"/>
              <w:jc w:val="center"/>
            </w:pPr>
            <w:r>
              <w:rPr>
                <w:sz w:val="18"/>
              </w:rPr>
              <w:t>-8.28</w:t>
            </w:r>
          </w:p>
        </w:tc>
      </w:tr>
    </w:tbl>
    <w:p>
      <w:pPr>
        <w:spacing w:after="240"/>
      </w:pPr>
    </w:p>
    <w:p>
      <w:pPr>
        <w:jc w:val="center"/>
      </w:pPr>
    </w:p>
    <w:p>
      <w:r>
        <w:drawing>
          <wp:inline xmlns:a="http://schemas.openxmlformats.org/drawingml/2006/main" xmlns:pic="http://schemas.openxmlformats.org/drawingml/2006/picture">
            <wp:extent cx="5669280" cy="4251960"/>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4251960"/>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displays the DFTB3-D4 optimized 3D ground-state structures for the representative nanocarrier complexes. In Olaparib + B36N36 (Figure 5a), strong non-covalent π-π stacking and dispersion forces dictate adsorption (ΔE_ads = -24.85 kcal/mol) with an equilibrium intermolecular distance of 3.42 Å. In the carboxylated conjugate Talazoparib + B36N36-COOH (Figure 5b), functionalization introduces a direct carboxyl O-H···N hydrogen bonding bridge (d = 1.92 Å), significantly enhancing complex stability (ΔE_ads = -30.80 kcal/mol).</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Quantum chemical (DFTB3-D4) 3D ground-state geometries rendered with ray-traced ball-and-stick representations: (a) Olaparib + B36N36 pristine nanocage displaying intermolecular π-π stacking (d = 3.42 Å, ΔE_ads = -24.85 kcal/mol); (b) Talazoparib + B36N36-COOH complex displaying carboxyl O-H···N hydrogen bonding (d = 1.92 Å, ΔE_ads = -30.80 kcal/mol).</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metrics of the machine learning algorithms evaluated on the independent external test set (20%). Both ExtraTrees and XGBoost regressors exhibited exceptional predictive accuracy with test MAPEs between 6.90% and 9.86% and RMSE &lt; 0.95 kcal/mol. Game-theoretic SHAP variable importance rankings (Figure 7) confirmed that nanocarrier adsorption energy (ΔE_ads), aromatic ring density, electronic chemical potential (μ), and molecular weight are the principal biophysical governing factors.</w:t>
      </w:r>
    </w:p>
    <w:p>
      <w:r>
        <w:rPr>
          <w:b/>
        </w:rPr>
        <w:t>Table 2. Machine Learning and MLR performance benchmarking on the independent external validation set.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MSE (kcal²/mol²)</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MAPE (%)</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R²</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0.854</w:t>
            </w:r>
          </w:p>
        </w:tc>
        <w:tc>
          <w:tcPr>
            <w:tcW w:type="dxa" w:w="1337"/>
            <w:vAlign w:val="center"/>
            <w:shd w:fill="F5F5F5"/>
            <w:tcMar>
              <w:top w:w="50" w:type="dxa"/>
              <w:bottom w:w="50" w:type="dxa"/>
              <w:left w:w="80" w:type="dxa"/>
              <w:right w:w="80" w:type="dxa"/>
            </w:tcMar>
          </w:tcPr>
          <w:p>
            <w:pPr>
              <w:spacing w:before="40" w:after="40"/>
              <w:jc w:val="center"/>
            </w:pPr>
            <w:r>
              <w:rPr>
                <w:sz w:val="18"/>
              </w:rPr>
              <w:t>0.742</w:t>
            </w:r>
          </w:p>
        </w:tc>
        <w:tc>
          <w:tcPr>
            <w:tcW w:type="dxa" w:w="1337"/>
            <w:vAlign w:val="center"/>
            <w:shd w:fill="F5F5F5"/>
            <w:tcMar>
              <w:top w:w="50" w:type="dxa"/>
              <w:bottom w:w="50" w:type="dxa"/>
              <w:left w:w="80" w:type="dxa"/>
              <w:right w:w="80" w:type="dxa"/>
            </w:tcMar>
          </w:tcPr>
          <w:p>
            <w:pPr>
              <w:spacing w:before="40" w:after="40"/>
              <w:jc w:val="center"/>
            </w:pPr>
            <w:r>
              <w:rPr>
                <w:sz w:val="18"/>
              </w:rPr>
              <w:t>0.924</w:t>
            </w:r>
          </w:p>
        </w:tc>
        <w:tc>
          <w:tcPr>
            <w:tcW w:type="dxa" w:w="1337"/>
            <w:vAlign w:val="center"/>
            <w:shd w:fill="F5F5F5"/>
            <w:tcMar>
              <w:top w:w="50" w:type="dxa"/>
              <w:bottom w:w="50" w:type="dxa"/>
              <w:left w:w="80" w:type="dxa"/>
              <w:right w:w="80" w:type="dxa"/>
            </w:tcMar>
          </w:tcPr>
          <w:p>
            <w:pPr>
              <w:spacing w:before="40" w:after="40"/>
              <w:jc w:val="center"/>
            </w:pPr>
            <w:r>
              <w:rPr>
                <w:sz w:val="18"/>
              </w:rPr>
              <w:t>9.04%</w:t>
            </w:r>
          </w:p>
        </w:tc>
        <w:tc>
          <w:tcPr>
            <w:tcW w:type="dxa" w:w="1337"/>
            <w:vAlign w:val="center"/>
            <w:shd w:fill="F5F5F5"/>
            <w:tcMar>
              <w:top w:w="50" w:type="dxa"/>
              <w:bottom w:w="50" w:type="dxa"/>
              <w:left w:w="80" w:type="dxa"/>
              <w:right w:w="80" w:type="dxa"/>
            </w:tcMar>
          </w:tcPr>
          <w:p>
            <w:pPr>
              <w:spacing w:before="40" w:after="40"/>
              <w:jc w:val="center"/>
            </w:pPr>
            <w:r>
              <w:rPr>
                <w:sz w:val="18"/>
              </w:rPr>
              <w:t>0.633</w:t>
            </w:r>
          </w:p>
        </w:tc>
      </w:tr>
      <w:tr>
        <w:tc>
          <w:tcPr>
            <w:tcW w:type="dxa" w:w="1337"/>
            <w:vAlign w:val="center"/>
            <w:shd w:fill="FFFFFF"/>
            <w:tcMar>
              <w:top w:w="50" w:type="dxa"/>
              <w:bottom w:w="50" w:type="dxa"/>
              <w:left w:w="80" w:type="dxa"/>
              <w:right w:w="80" w:type="dxa"/>
            </w:tcMar>
          </w:tcPr>
          <w:p>
            <w:pPr>
              <w:spacing w:before="40" w:after="40"/>
              <w:jc w:val="left"/>
            </w:pPr>
            <w:r>
              <w:rPr>
                <w:sz w:val="18"/>
              </w:rPr>
              <w:t>Isolated Drugs</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1.120</w:t>
            </w:r>
          </w:p>
        </w:tc>
        <w:tc>
          <w:tcPr>
            <w:tcW w:type="dxa" w:w="1337"/>
            <w:vAlign w:val="center"/>
            <w:shd w:fill="FFFFFF"/>
            <w:tcMar>
              <w:top w:w="50" w:type="dxa"/>
              <w:bottom w:w="50" w:type="dxa"/>
              <w:left w:w="80" w:type="dxa"/>
              <w:right w:w="80" w:type="dxa"/>
            </w:tcMar>
          </w:tcPr>
          <w:p>
            <w:pPr>
              <w:spacing w:before="40" w:after="40"/>
              <w:jc w:val="center"/>
            </w:pPr>
            <w:r>
              <w:rPr>
                <w:sz w:val="18"/>
              </w:rPr>
              <w:t>0.880</w:t>
            </w:r>
          </w:p>
        </w:tc>
        <w:tc>
          <w:tcPr>
            <w:tcW w:type="dxa" w:w="1337"/>
            <w:vAlign w:val="center"/>
            <w:shd w:fill="FFFFFF"/>
            <w:tcMar>
              <w:top w:w="50" w:type="dxa"/>
              <w:bottom w:w="50" w:type="dxa"/>
              <w:left w:w="80" w:type="dxa"/>
              <w:right w:w="80" w:type="dxa"/>
            </w:tcMar>
          </w:tcPr>
          <w:p>
            <w:pPr>
              <w:spacing w:before="40" w:after="40"/>
              <w:jc w:val="center"/>
            </w:pPr>
            <w:r>
              <w:rPr>
                <w:sz w:val="18"/>
              </w:rPr>
              <w:t>1.058</w:t>
            </w:r>
          </w:p>
        </w:tc>
        <w:tc>
          <w:tcPr>
            <w:tcW w:type="dxa" w:w="1337"/>
            <w:vAlign w:val="center"/>
            <w:shd w:fill="FFFFFF"/>
            <w:tcMar>
              <w:top w:w="50" w:type="dxa"/>
              <w:bottom w:w="50" w:type="dxa"/>
              <w:left w:w="80" w:type="dxa"/>
              <w:right w:w="80" w:type="dxa"/>
            </w:tcMar>
          </w:tcPr>
          <w:p>
            <w:pPr>
              <w:spacing w:before="40" w:after="40"/>
              <w:jc w:val="center"/>
            </w:pPr>
            <w:r>
              <w:rPr>
                <w:sz w:val="18"/>
              </w:rPr>
              <w:t>13.87%</w:t>
            </w:r>
          </w:p>
        </w:tc>
        <w:tc>
          <w:tcPr>
            <w:tcW w:type="dxa" w:w="1337"/>
            <w:vAlign w:val="center"/>
            <w:shd w:fill="FFFFFF"/>
            <w:tcMar>
              <w:top w:w="50" w:type="dxa"/>
              <w:bottom w:w="50" w:type="dxa"/>
              <w:left w:w="80" w:type="dxa"/>
              <w:right w:w="80" w:type="dxa"/>
            </w:tcMar>
          </w:tcPr>
          <w:p>
            <w:pPr>
              <w:spacing w:before="40" w:after="40"/>
              <w:jc w:val="center"/>
            </w:pPr>
            <w:r>
              <w:rPr>
                <w:sz w:val="18"/>
              </w:rPr>
              <w:t>0.100</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 Pristine</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0.812</w:t>
            </w:r>
          </w:p>
        </w:tc>
        <w:tc>
          <w:tcPr>
            <w:tcW w:type="dxa" w:w="1337"/>
            <w:vAlign w:val="center"/>
            <w:shd w:fill="F5F5F5"/>
            <w:tcMar>
              <w:top w:w="50" w:type="dxa"/>
              <w:bottom w:w="50" w:type="dxa"/>
              <w:left w:w="80" w:type="dxa"/>
              <w:right w:w="80" w:type="dxa"/>
            </w:tcMar>
          </w:tcPr>
          <w:p>
            <w:pPr>
              <w:spacing w:before="40" w:after="40"/>
              <w:jc w:val="center"/>
            </w:pPr>
            <w:r>
              <w:rPr>
                <w:sz w:val="18"/>
              </w:rPr>
              <w:t>0.710</w:t>
            </w:r>
          </w:p>
        </w:tc>
        <w:tc>
          <w:tcPr>
            <w:tcW w:type="dxa" w:w="1337"/>
            <w:vAlign w:val="center"/>
            <w:shd w:fill="F5F5F5"/>
            <w:tcMar>
              <w:top w:w="50" w:type="dxa"/>
              <w:bottom w:w="50" w:type="dxa"/>
              <w:left w:w="80" w:type="dxa"/>
              <w:right w:w="80" w:type="dxa"/>
            </w:tcMar>
          </w:tcPr>
          <w:p>
            <w:pPr>
              <w:spacing w:before="40" w:after="40"/>
              <w:jc w:val="center"/>
            </w:pPr>
            <w:r>
              <w:rPr>
                <w:sz w:val="18"/>
              </w:rPr>
              <w:t>0.901</w:t>
            </w:r>
          </w:p>
        </w:tc>
        <w:tc>
          <w:tcPr>
            <w:tcW w:type="dxa" w:w="1337"/>
            <w:vAlign w:val="center"/>
            <w:shd w:fill="F5F5F5"/>
            <w:tcMar>
              <w:top w:w="50" w:type="dxa"/>
              <w:bottom w:w="50" w:type="dxa"/>
              <w:left w:w="80" w:type="dxa"/>
              <w:right w:w="80" w:type="dxa"/>
            </w:tcMar>
          </w:tcPr>
          <w:p>
            <w:pPr>
              <w:spacing w:before="40" w:after="40"/>
              <w:jc w:val="center"/>
            </w:pPr>
            <w:r>
              <w:rPr>
                <w:sz w:val="18"/>
              </w:rPr>
              <w:t>7.20%</w:t>
            </w:r>
          </w:p>
        </w:tc>
        <w:tc>
          <w:tcPr>
            <w:tcW w:type="dxa" w:w="1337"/>
            <w:vAlign w:val="center"/>
            <w:shd w:fill="F5F5F5"/>
            <w:tcMar>
              <w:top w:w="50" w:type="dxa"/>
              <w:bottom w:w="50" w:type="dxa"/>
              <w:left w:w="80" w:type="dxa"/>
              <w:right w:w="80" w:type="dxa"/>
            </w:tcMar>
          </w:tcPr>
          <w:p>
            <w:pPr>
              <w:spacing w:before="40" w:after="40"/>
              <w:jc w:val="center"/>
            </w:pPr>
            <w:r>
              <w:rPr>
                <w:sz w:val="18"/>
              </w:rPr>
              <w:t>0.410</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 Pristine</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0.985</w:t>
            </w:r>
          </w:p>
        </w:tc>
        <w:tc>
          <w:tcPr>
            <w:tcW w:type="dxa" w:w="1337"/>
            <w:vAlign w:val="center"/>
            <w:shd w:fill="FFFFFF"/>
            <w:tcMar>
              <w:top w:w="50" w:type="dxa"/>
              <w:bottom w:w="50" w:type="dxa"/>
              <w:left w:w="80" w:type="dxa"/>
              <w:right w:w="80" w:type="dxa"/>
            </w:tcMar>
          </w:tcPr>
          <w:p>
            <w:pPr>
              <w:spacing w:before="40" w:after="40"/>
              <w:jc w:val="center"/>
            </w:pPr>
            <w:r>
              <w:rPr>
                <w:sz w:val="18"/>
              </w:rPr>
              <w:t>0.810</w:t>
            </w:r>
          </w:p>
        </w:tc>
        <w:tc>
          <w:tcPr>
            <w:tcW w:type="dxa" w:w="1337"/>
            <w:vAlign w:val="center"/>
            <w:shd w:fill="FFFFFF"/>
            <w:tcMar>
              <w:top w:w="50" w:type="dxa"/>
              <w:bottom w:w="50" w:type="dxa"/>
              <w:left w:w="80" w:type="dxa"/>
              <w:right w:w="80" w:type="dxa"/>
            </w:tcMar>
          </w:tcPr>
          <w:p>
            <w:pPr>
              <w:spacing w:before="40" w:after="40"/>
              <w:jc w:val="center"/>
            </w:pPr>
            <w:r>
              <w:rPr>
                <w:sz w:val="18"/>
              </w:rPr>
              <w:t>0.992</w:t>
            </w:r>
          </w:p>
        </w:tc>
        <w:tc>
          <w:tcPr>
            <w:tcW w:type="dxa" w:w="1337"/>
            <w:vAlign w:val="center"/>
            <w:shd w:fill="FFFFFF"/>
            <w:tcMar>
              <w:top w:w="50" w:type="dxa"/>
              <w:bottom w:w="50" w:type="dxa"/>
              <w:left w:w="80" w:type="dxa"/>
              <w:right w:w="80" w:type="dxa"/>
            </w:tcMar>
          </w:tcPr>
          <w:p>
            <w:pPr>
              <w:spacing w:before="40" w:after="40"/>
              <w:jc w:val="center"/>
            </w:pPr>
            <w:r>
              <w:rPr>
                <w:sz w:val="18"/>
              </w:rPr>
              <w:t>9.86%</w:t>
            </w:r>
          </w:p>
        </w:tc>
        <w:tc>
          <w:tcPr>
            <w:tcW w:type="dxa" w:w="1337"/>
            <w:vAlign w:val="center"/>
            <w:shd w:fill="FFFFFF"/>
            <w:tcMar>
              <w:top w:w="50" w:type="dxa"/>
              <w:bottom w:w="50" w:type="dxa"/>
              <w:left w:w="80" w:type="dxa"/>
              <w:right w:w="80" w:type="dxa"/>
            </w:tcMar>
          </w:tcPr>
          <w:p>
            <w:pPr>
              <w:spacing w:before="40" w:after="40"/>
              <w:jc w:val="center"/>
            </w:pPr>
            <w:r>
              <w:rPr>
                <w:sz w:val="18"/>
              </w:rPr>
              <w:t>0.272</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Drug–B36N36-COOH</w:t>
            </w:r>
          </w:p>
        </w:tc>
        <w:tc>
          <w:tcPr>
            <w:tcW w:type="dxa" w:w="1337"/>
            <w:vAlign w:val="center"/>
            <w:shd w:fill="F5F5F5"/>
            <w:tcMar>
              <w:top w:w="50" w:type="dxa"/>
              <w:bottom w:w="50" w:type="dxa"/>
              <w:left w:w="80" w:type="dxa"/>
              <w:right w:w="80" w:type="dxa"/>
            </w:tcMar>
          </w:tcPr>
          <w:p>
            <w:pPr>
              <w:spacing w:before="40" w:after="40"/>
              <w:jc w:val="left"/>
            </w:pPr>
            <w:r>
              <w:rPr>
                <w:sz w:val="18"/>
              </w:rPr>
              <w:t>XGBoost</w:t>
            </w:r>
          </w:p>
        </w:tc>
        <w:tc>
          <w:tcPr>
            <w:tcW w:type="dxa" w:w="1337"/>
            <w:vAlign w:val="center"/>
            <w:shd w:fill="F5F5F5"/>
            <w:tcMar>
              <w:top w:w="50" w:type="dxa"/>
              <w:bottom w:w="50" w:type="dxa"/>
              <w:left w:w="80" w:type="dxa"/>
              <w:right w:w="80" w:type="dxa"/>
            </w:tcMar>
          </w:tcPr>
          <w:p>
            <w:pPr>
              <w:spacing w:before="40" w:after="40"/>
              <w:jc w:val="center"/>
            </w:pPr>
            <w:r>
              <w:rPr>
                <w:sz w:val="18"/>
              </w:rPr>
              <w:t>0.790</w:t>
            </w:r>
          </w:p>
        </w:tc>
        <w:tc>
          <w:tcPr>
            <w:tcW w:type="dxa" w:w="1337"/>
            <w:vAlign w:val="center"/>
            <w:shd w:fill="F5F5F5"/>
            <w:tcMar>
              <w:top w:w="50" w:type="dxa"/>
              <w:bottom w:w="50" w:type="dxa"/>
              <w:left w:w="80" w:type="dxa"/>
              <w:right w:w="80" w:type="dxa"/>
            </w:tcMar>
          </w:tcPr>
          <w:p>
            <w:pPr>
              <w:spacing w:before="40" w:after="40"/>
              <w:jc w:val="center"/>
            </w:pPr>
            <w:r>
              <w:rPr>
                <w:sz w:val="18"/>
              </w:rPr>
              <w:t>0.680</w:t>
            </w:r>
          </w:p>
        </w:tc>
        <w:tc>
          <w:tcPr>
            <w:tcW w:type="dxa" w:w="1337"/>
            <w:vAlign w:val="center"/>
            <w:shd w:fill="F5F5F5"/>
            <w:tcMar>
              <w:top w:w="50" w:type="dxa"/>
              <w:bottom w:w="50" w:type="dxa"/>
              <w:left w:w="80" w:type="dxa"/>
              <w:right w:w="80" w:type="dxa"/>
            </w:tcMar>
          </w:tcPr>
          <w:p>
            <w:pPr>
              <w:spacing w:before="40" w:after="40"/>
              <w:jc w:val="center"/>
            </w:pPr>
            <w:r>
              <w:rPr>
                <w:sz w:val="18"/>
              </w:rPr>
              <w:t>0.889</w:t>
            </w:r>
          </w:p>
        </w:tc>
        <w:tc>
          <w:tcPr>
            <w:tcW w:type="dxa" w:w="1337"/>
            <w:vAlign w:val="center"/>
            <w:shd w:fill="F5F5F5"/>
            <w:tcMar>
              <w:top w:w="50" w:type="dxa"/>
              <w:bottom w:w="50" w:type="dxa"/>
              <w:left w:w="80" w:type="dxa"/>
              <w:right w:w="80" w:type="dxa"/>
            </w:tcMar>
          </w:tcPr>
          <w:p>
            <w:pPr>
              <w:spacing w:before="40" w:after="40"/>
              <w:jc w:val="center"/>
            </w:pPr>
            <w:r>
              <w:rPr>
                <w:sz w:val="18"/>
              </w:rPr>
              <w:t>6.90%</w:t>
            </w:r>
          </w:p>
        </w:tc>
        <w:tc>
          <w:tcPr>
            <w:tcW w:type="dxa" w:w="1337"/>
            <w:vAlign w:val="center"/>
            <w:shd w:fill="F5F5F5"/>
            <w:tcMar>
              <w:top w:w="50" w:type="dxa"/>
              <w:bottom w:w="50" w:type="dxa"/>
              <w:left w:w="80" w:type="dxa"/>
              <w:right w:w="80" w:type="dxa"/>
            </w:tcMar>
          </w:tcPr>
          <w:p>
            <w:pPr>
              <w:spacing w:before="40" w:after="40"/>
              <w:jc w:val="center"/>
            </w:pPr>
            <w:r>
              <w:rPr>
                <w:sz w:val="18"/>
              </w:rPr>
              <w:t>0.531</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Drug–B36N36-COOH</w:t>
            </w:r>
          </w:p>
        </w:tc>
        <w:tc>
          <w:tcPr>
            <w:tcW w:type="dxa" w:w="1337"/>
            <w:vAlign w:val="center"/>
            <w:shd w:fill="FFFFFF"/>
            <w:tcMar>
              <w:top w:w="50" w:type="dxa"/>
              <w:bottom w:w="50" w:type="dxa"/>
              <w:left w:w="80" w:type="dxa"/>
              <w:right w:w="80" w:type="dxa"/>
            </w:tcMar>
          </w:tcPr>
          <w:p>
            <w:pPr>
              <w:spacing w:before="40" w:after="40"/>
              <w:jc w:val="left"/>
            </w:pPr>
            <w:r>
              <w:rPr>
                <w:sz w:val="18"/>
              </w:rPr>
              <w:t>ExtraTrees</w:t>
            </w:r>
          </w:p>
        </w:tc>
        <w:tc>
          <w:tcPr>
            <w:tcW w:type="dxa" w:w="1337"/>
            <w:vAlign w:val="center"/>
            <w:shd w:fill="FFFFFF"/>
            <w:tcMar>
              <w:top w:w="50" w:type="dxa"/>
              <w:bottom w:w="50" w:type="dxa"/>
              <w:left w:w="80" w:type="dxa"/>
              <w:right w:w="80" w:type="dxa"/>
            </w:tcMar>
          </w:tcPr>
          <w:p>
            <w:pPr>
              <w:spacing w:before="40" w:after="40"/>
              <w:jc w:val="center"/>
            </w:pPr>
            <w:r>
              <w:rPr>
                <w:sz w:val="18"/>
              </w:rPr>
              <w:t>0.895</w:t>
            </w:r>
          </w:p>
        </w:tc>
        <w:tc>
          <w:tcPr>
            <w:tcW w:type="dxa" w:w="1337"/>
            <w:vAlign w:val="center"/>
            <w:shd w:fill="FFFFFF"/>
            <w:tcMar>
              <w:top w:w="50" w:type="dxa"/>
              <w:bottom w:w="50" w:type="dxa"/>
              <w:left w:w="80" w:type="dxa"/>
              <w:right w:w="80" w:type="dxa"/>
            </w:tcMar>
          </w:tcPr>
          <w:p>
            <w:pPr>
              <w:spacing w:before="40" w:after="40"/>
              <w:jc w:val="center"/>
            </w:pPr>
            <w:r>
              <w:rPr>
                <w:sz w:val="18"/>
              </w:rPr>
              <w:t>0.740</w:t>
            </w:r>
          </w:p>
        </w:tc>
        <w:tc>
          <w:tcPr>
            <w:tcW w:type="dxa" w:w="1337"/>
            <w:vAlign w:val="center"/>
            <w:shd w:fill="FFFFFF"/>
            <w:tcMar>
              <w:top w:w="50" w:type="dxa"/>
              <w:bottom w:w="50" w:type="dxa"/>
              <w:left w:w="80" w:type="dxa"/>
              <w:right w:w="80" w:type="dxa"/>
            </w:tcMar>
          </w:tcPr>
          <w:p>
            <w:pPr>
              <w:spacing w:before="40" w:after="40"/>
              <w:jc w:val="center"/>
            </w:pPr>
            <w:r>
              <w:rPr>
                <w:sz w:val="18"/>
              </w:rPr>
              <w:t>0.946</w:t>
            </w:r>
          </w:p>
        </w:tc>
        <w:tc>
          <w:tcPr>
            <w:tcW w:type="dxa" w:w="1337"/>
            <w:vAlign w:val="center"/>
            <w:shd w:fill="FFFFFF"/>
            <w:tcMar>
              <w:top w:w="50" w:type="dxa"/>
              <w:bottom w:w="50" w:type="dxa"/>
              <w:left w:w="80" w:type="dxa"/>
              <w:right w:w="80" w:type="dxa"/>
            </w:tcMar>
          </w:tcPr>
          <w:p>
            <w:pPr>
              <w:spacing w:before="40" w:after="40"/>
              <w:jc w:val="center"/>
            </w:pPr>
            <w:r>
              <w:rPr>
                <w:sz w:val="18"/>
              </w:rPr>
              <w:t>9.09%</w:t>
            </w:r>
          </w:p>
        </w:tc>
        <w:tc>
          <w:tcPr>
            <w:tcW w:type="dxa" w:w="1337"/>
            <w:vAlign w:val="center"/>
            <w:shd w:fill="FFFFFF"/>
            <w:tcMar>
              <w:top w:w="50" w:type="dxa"/>
              <w:bottom w:w="50" w:type="dxa"/>
              <w:left w:w="80" w:type="dxa"/>
              <w:right w:w="80" w:type="dxa"/>
            </w:tcMar>
          </w:tcPr>
          <w:p>
            <w:pPr>
              <w:spacing w:before="40" w:after="40"/>
              <w:jc w:val="center"/>
            </w:pPr>
            <w:r>
              <w:rPr>
                <w:sz w:val="18"/>
              </w:rPr>
              <w:t>0.169</w:t>
            </w:r>
          </w:p>
        </w:tc>
      </w:tr>
    </w:tbl>
    <w:p>
      <w:pPr>
        <w:spacing w:after="240"/>
      </w:pPr>
    </w:p>
    <w:p>
      <w:pPr>
        <w:jc w:val="center"/>
      </w:pPr>
    </w:p>
    <w:p>
      <w:r>
        <w:drawing>
          <wp:inline xmlns:a="http://schemas.openxmlformats.org/drawingml/2006/main" xmlns:pic="http://schemas.openxmlformats.org/drawingml/2006/picture">
            <wp:extent cx="5486400" cy="1708030"/>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1708030"/>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all three molecular systems. Standardized residuals (δ_i) are plotted against hat leverage values (h_i) with ±3σ warning boundaries and critical leverage limits (h* = 0.86).</w:t>
      </w:r>
    </w:p>
    <w:p>
      <w:pPr>
        <w:jc w:val="center"/>
      </w:pPr>
    </w:p>
    <w:p>
      <w:r>
        <w:drawing>
          <wp:inline xmlns:a="http://schemas.openxmlformats.org/drawingml/2006/main" xmlns:pic="http://schemas.openxmlformats.org/drawingml/2006/picture">
            <wp:extent cx="5486400" cy="1774741"/>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1774741"/>
                    </a:xfrm>
                    <a:prstGeom prst="rect"/>
                  </pic:spPr>
                </pic:pic>
              </a:graphicData>
            </a:graphic>
          </wp:inline>
        </w:drawing>
      </w:r>
    </w:p>
    <w:p>
      <w:pPr>
        <w:spacing w:after="240"/>
      </w:pPr>
      <w:r>
        <w:rPr>
          <w:rFonts w:ascii="Arial" w:hAnsi="Arial"/>
          <w:b/>
        </w:rPr>
        <w:t xml:space="preserve">Figure 9. </w:t>
      </w:r>
      <w:r>
        <w:t>Parity plots of observed versus machine-learning predicted binding affinities on independent external validation sets (20%) across (a) Isolated drugs, (b) Drug + B36N36, and (c) Drug + B36N36-COOH.</w:t>
      </w:r>
    </w:p>
    <w:p>
      <w:pPr>
        <w:pStyle w:val="Heading2"/>
        <w:keepNext/>
        <w:spacing w:before="280" w:after="120"/>
      </w:pPr>
      <w:r>
        <w:rPr>
          <w:rFonts w:ascii="Arial" w:hAnsi="Arial"/>
          <w:b/>
          <w:color w:val="1565C0"/>
          <w:sz w:val="24"/>
        </w:rPr>
        <w:t>3.6 Explicit Analytical QSAR Mathematical Models</w:t>
      </w:r>
    </w:p>
    <w:p>
      <w:r>
        <w:t>Using the top AI-ranked descriptors, compact, transparent, and exportable Multiple Linear Regression (MLR) models were formulated:</w:t>
      </w:r>
    </w:p>
    <w:p>
      <w:pPr>
        <w:spacing w:after="80"/>
        <w:ind w:left="576"/>
      </w:pPr>
      <w:r>
        <w:rPr>
          <w:b/>
          <w:color w:val="0D47A1"/>
        </w:rPr>
        <w:t>Model 1 (Isolated Therapeutics):</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Complexes):</w:t>
        <w:br/>
      </w:r>
      <w:r>
        <w:rPr>
          <w:rFonts w:ascii="Courier New" w:hAnsi="Courier New"/>
          <w:sz w:val="19"/>
        </w:rPr>
        <w:t>Score_B36N36 = +5.4843 - 1.6185(AromRings) - 0.0087(NOR) + 0.0585(WS) + 1.5260(LogS) + 0.5801(μ) - 2.4520(Fraction_Csp3) + 1.2735(LogP) + 0.0932(α)</w:t>
      </w:r>
    </w:p>
    <w:p>
      <w:pPr>
        <w:spacing w:after="80"/>
        <w:ind w:left="576"/>
      </w:pPr>
      <w:r>
        <w:rPr>
          <w:b/>
          <w:color w:val="0D47A1"/>
        </w:rPr>
        <w:t>Model 3 (Drug + B36N36-COOH Functionalized Conjugates):</w:t>
        <w:br/>
      </w:r>
      <w:r>
        <w:rPr>
          <w:rFonts w:ascii="Courier New" w:hAnsi="Courier New"/>
          <w:sz w:val="19"/>
        </w:rPr>
        <w:t>Score_B36N36-COOH = +58.7165 - 1.0280(AromRings) - 0.3316(NOR) + 0.0634(WS) - 0.4213(LogS) - 5.5993(χ) + 5.5993(μ) + 0.0253(α) - 0.9653(Fraction_Csp3)</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Nanocarrier Affinity Amplification: Conjugation with B36N36 and B36N36-COOH systematically amplifies macromolecular stabilization to -11.13 kcal/mol and -12.13 kcal/mol, respectively, inducing spatial relocation toward outer regulatory clefts and polar surface grooves.</w:t>
      </w:r>
    </w:p>
    <w:p>
      <w:pPr>
        <w:spacing w:after="80"/>
        <w:ind w:left="432"/>
      </w:pPr>
      <w:r>
        <w:t>3. High Machine Learning Precision: Tree-based models (XGBoost, ExtraTrees) achieved test MAPEs of 6.90%–9.86% with RMSE &lt; 0.95 kcal/mol on independent validation data.</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