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Each drug/B36N36 complex was built by offsetting the drug 3.2 Angstrom above the cage and relaxing it with GFN2-xTB (four orientations). Of the 30 organic drugs that could be modelled (the three square-planar Pt(II) agents fall outside the GFN2-xTB + RDKit build), 25 PHYSISORB on the pristine cage (closest contact 2.2-3.5 Angstrom, Delta_E_int,SP = -6 to -31 kcal/mol) and 5 CHEMISORB, forming a covalent B-O or B-N bond (contact 1.37-1.72 Angstrom, Delta_E_int,SP = -43 to -186 kcal/mol): the camptothecins SN-38 and topotecan, the anthracycline epirubicin, and the kinase inhibitors lapatinib and rucaparib, each through an accessible phenol, hydroxyl or lactam nucleophile. A descriptor-based QSPR of the physisorption energy is not predictive (Q2_CV = 0.0, n = 25); the docking-score QSPR reaches only Q2_CV = 0.11. A carboxylated B36N36-COOH derivative is discussed only as future work.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2.1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-8.19</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-9.02</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-10.77</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-6.80</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-8.48</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-9.69</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-9.79</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-10.75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-8.97</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-9.45</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-9.72</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-11.06</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-8.85</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-9.37</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-8.07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-11.26</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-9.18</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-10.72</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-10.66</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-9.14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-8.55</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-5.78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-11.18</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-8.19</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-11.35</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-9.96</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-7.59</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-10.31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-8.96</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479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479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2.5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0.11 for the PARP1 Vina docking score (n = 30) and Q2_CV = 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0.11</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2.6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0.11 for the PARP1 docking score and 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