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1,*</w:t>
      </w:r>
    </w:p>
    <w:p>
      <w:pPr>
        <w:spacing w:after="360"/>
        <w:jc w:val="center"/>
      </w:pPr>
      <w:r>
        <w:rPr>
          <w:i/>
          <w:color w:val="616161"/>
          <w:sz w:val="19"/>
        </w:rPr>
        <w:t>1 Universidad Estatal de Sonora, Hermosillo, Sonora, Mexico. ORCID: 0009-0009-1207-8597</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-7.3 kcal/mol, range -4.5 to -8.7) are not used as a quantitative endpoint. Each drug/B36N36 complex was built by offsetting the drug 3.2 Angstrom above the cage and relaxing it with GFN2-xTB (four orientations). Of the 30 organic drugs that could be modelled (the three square-planar Pt(II) agents fall outside the GFN2-xTB + RDKit build), 25 PHYSISORB on the pristine cage (closest contact 2.2-3.5 Angstrom, Delta_E_int,SP = -6 to -31 kcal/mol) and 5 CHEMISORB, forming a covalent B-O or B-N bond (contact 1.37-1.72 Angstrom, Delta_E_int,SP = -43 to -186 kcal/mol): the camptothecins SN-38 and topotecan, the anthracycline epirubicin, and the kinase inhibitors lapatinib and rucaparib, each through an accessible phenol, hydroxyl or lactam nucleophile. A descriptor-based QSPR of the physisorption energy is not predictive (Q2_CV = 0.00, n = 25); the docking-score QSPR is no better (Q2_CV = -0.33). A carboxylated B36N36-COOH derivative is discussed only as future work.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Results and Discussion</w:t>
      </w:r>
    </w:p>
    <w:p>
      <w:pPr>
        <w:pStyle w:val="Heading2"/>
        <w:keepNext/>
        <w:spacing w:before="280" w:after="120"/>
      </w:pPr>
      <w:r>
        <w:rPr>
          <w:rFonts w:ascii="Arial" w:hAnsi="Arial"/>
          <w:b/>
          <w:color w:val="1565C0"/>
          <w:sz w:val="24"/>
        </w:rPr>
        <w:t>2.1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2.2.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2.2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2.3 / Figure 10),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2.3 3D Quantum Geometries and Intermolecular Interactions</w:t>
      </w:r>
    </w:p>
    <w:p>
      <w:r>
        <w:t>After full GFN2-xTB relaxation, the 30 modelled drug/B36N36 complexes fall into two regimes (Figure 5, Figure 10).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2.4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2.5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10)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7.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8.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9).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10.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9.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10.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2.6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3.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Figure 7) places 25/25 compounds inside the domain for the physisorption endpoint and 29/30 for the PARP1 docking endpoint (cobimetinib exceeds the warning leverage h*);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4. Experimental</w:t>
      </w:r>
    </w:p>
    <w:p>
      <w:pPr>
        <w:pStyle w:val="Heading2"/>
        <w:keepNext/>
        <w:spacing w:before="280" w:after="120"/>
      </w:pPr>
      <w:r>
        <w:rPr>
          <w:rFonts w:ascii="Arial" w:hAnsi="Arial"/>
          <w:b/>
          <w:color w:val="1565C0"/>
          <w:sz w:val="24"/>
        </w:rPr>
        <w:t>4.1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platinum agents (cisplatin, carboplatin, oxaliplatin), topoisomerase I/II inhibitors (SN-38, exatecan, topotecan, etoposide), anthracyclines (doxorubicin, epirubicin), taxanes (paclitaxel, docetaxel, cabazitaxel), a microtubule inhibitor (eribulin), EGFR/HER2 tyrosine-kinase inhibitors (lapatinib, erlotinib, gefitinib, osimertinib), MEK inhibitors (cobimetinib, trametinib, selumetinib), AKT inhibitors (capivasertib, ipatasertib), a PI3Kalpha inhibitor (alpelisib), an mTOR inhibitor (everolimus)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4.2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4.3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4.4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03_Supporting_Information_Monreal_Hernandez_et_al.docx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writing – review and editing.</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