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-7.22 kcal/mol, range -10.2 to -3.9) are not used as a quantitative endpoint. Real GFN2-xTB single-point interaction energies of the 33 drugs on the pristine B36N36 cage average -2.8 kcal/mol (range -20.5 to +9.8 kcal/mol). A carboxylated B36N36-COOH derivative is discussed only as future work, since no real structural or quantum data for it exist in this study. A StandardScaler + RidgeCV surrogate evaluated by leak-free nested 5x5 cross-validation is non-predictive on both real-data systems (Q2_CV = -0.036 isolated, -0.626 pristine B36N36); the model and its feature-importance ranking are reported as an honest exploratory baseline, not a validated structure-activity relationship. OECD Principle 3 applicability-domain analysis (Williams leverage) places 33/35 and 31/33 compounds inside the domain.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Of these, 35 completed docking and 33 have a converged GFN2-xTB drug-cage complex; the analyses below use those real subsets.</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35 for the isolated-drug system and n = 33 for the pristine-B36N36 system)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232479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479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35 poses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Figure 5 shows the real GFN2-xTB optimised geometries of the pristine B36N36 nanocage and of two representative drug-nanocage complexes. Panel (a) is the optimised carrier. Panels (b) and (c) are the relaxed Olaparib + B36N36 and Talazoparib + B36N36 complexes; the corresponding single-point interaction energies are -0.38 and -1.53 kcal/mol (Table 1), consistent with weak, dispersion-dominated physisorption. A carboxylated B36N36-COOH conjugate is discussed only as future work, since no real structural or quantum data exists for the carboxylated cage.</w:t>
      </w:r>
    </w:p>
    <w:p>
      <w:pPr>
        <w:jc w:val="center"/>
      </w:pPr>
    </w:p>
    <w:p>
      <w:r>
        <w:drawing>
          <wp:inline xmlns:a="http://schemas.openxmlformats.org/drawingml/2006/main" xmlns:pic="http://schemas.openxmlformats.org/drawingml/2006/picture">
            <wp:extent cx="5669280" cy="2005541"/>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005541"/>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complex (single-point ΔE_int,SP = -0.38 kcal/mol); (c) the relaxed Talazoparib + B36N36 complex (single-point ΔE_int,SP = -1.53 kcal/mol). Boron in pink, nitrogen in blue, carbon in grey. A carboxylated B36N36-COOH cage was not modelled (future work).</w:t>
      </w:r>
    </w:p>
    <w:p>
      <w:pPr>
        <w:pStyle w:val="Heading2"/>
        <w:keepNext/>
        <w:spacing w:before="280" w:after="120"/>
      </w:pPr>
      <w:r>
        <w:rPr>
          <w:rFonts w:ascii="Arial" w:hAnsi="Arial"/>
          <w:b/>
          <w:color w:val="1565C0"/>
          <w:sz w:val="24"/>
        </w:rPr>
        <w:t>3.4 Statistical Docking Distributions and Residue Interactions</w:t>
      </w:r>
    </w:p>
    <w:p>
      <w:r>
        <w:t>Residue contact analysis across the 35 docked therapeutics (Figure 4) identifies Glu688, Arg865, Thr866, Lys684, Thr867 and Ser681 as the most frequently engaged residues within 3.8 Å. The isolated-drug Vina score and the real GFN2-xTB B36N36 interaction energy are only weakly (and negatively) correlated across the 20-compound overlap (Pearson r = -0.21), i.e. strong target binders are not systematically the strongest-adsorbing on the cage (Figure 6).</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35 docked therapeutics.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(a) distribution of AutoDock Vina scores on PARP1; (b) top-ranked therapeutics by score; (c) isolated-drug Vina score vs. real GFN2-xTB pristine-B36N36 interaction energy across the 20-compound overlap (weak negative correlation).</w:t>
      </w:r>
    </w:p>
    <w:p>
      <w:pPr>
        <w:pStyle w:val="Heading2"/>
        <w:keepNext/>
        <w:spacing w:before="280" w:after="120"/>
      </w:pPr>
      <w:r>
        <w:rPr>
          <w:rFonts w:ascii="Arial" w:hAnsi="Arial"/>
          <w:b/>
          <w:color w:val="1565C0"/>
          <w:sz w:val="24"/>
        </w:rPr>
        <w:t>3.5 Machine Learning Benchmarking and Explainable AI (SHAP)</w:t>
      </w:r>
    </w:p>
    <w:p>
      <w:r>
        <w:t>Table 2 summarizes the performance of the RidgeCV surrogate (four pre-specified descriptors; n = 35 isolated, n = 33 pristine B36N36) evaluated by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systems (isolated drugs; drug + pristine B36N36): out-of-fold standardized residuals vs. hat leverage with +/-3sigma boundaries. 33/35 and 31/33 compounds fall inside the applicability domain, respectively.</w:t>
      </w:r>
    </w:p>
    <w:p>
      <w:pPr>
        <w:jc w:val="center"/>
      </w:pPr>
    </w:p>
    <w:p>
      <w:r>
        <w:drawing>
          <wp:inline xmlns:a="http://schemas.openxmlformats.org/drawingml/2006/main" xmlns:pic="http://schemas.openxmlformats.org/drawingml/2006/picture">
            <wp:extent cx="5486400" cy="2451887"/>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51887"/>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pPr>
        <w:pStyle w:val="Heading2"/>
        <w:keepNext/>
        <w:spacing w:before="280" w:after="120"/>
      </w:pPr>
      <w:r>
        <w:rPr>
          <w:rFonts w:ascii="Arial" w:hAnsi="Arial"/>
          <w:b/>
          <w:color w:val="1565C0"/>
          <w:sz w:val="24"/>
        </w:rPr>
        <w:t>3.6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4.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-3.9 to -10.2 kcal/mol, but self-redocking of the co-crystallized ligand failed to reproduce the native pose within 2 A, so these scores are used only as a relative ranking and not as a quantitative endpoint.</w:t>
      </w:r>
    </w:p>
    <w:p>
      <w:pPr>
        <w:spacing w:after="80"/>
        <w:ind w:left="432"/>
      </w:pPr>
      <w:r>
        <w:t>2. Real interaction energetics: GFN2-xTB single-point interaction energies of the 33 drugs on the pristine B36N36 cage average -2.8 kcal/mol (range -20.5 to +9.8 kcal/mol); a carboxylated B36N36-COOH derivative has no real structural or quantum data here and would require dedicated complex-geometry modeling.</w:t>
      </w:r>
    </w:p>
    <w:p>
      <w:pPr>
        <w:spacing w:after="80"/>
        <w:ind w:left="432"/>
      </w:pPr>
      <w:r>
        <w:t>3. Honest ML baseline: the leak-free nested 5x5 cross-validated RidgeCV surrogate is non-predictive on both real-data systems (Q2_CV = -0.036 isolated, -0.626 pristine B36N36; pooled -0.0016), and the descriptor rankings from the exploratory tree models are reported as qualitative only.</w:t>
      </w:r>
    </w:p>
    <w:p>
      <w:pPr>
        <w:spacing w:after="80"/>
        <w:ind w:left="432"/>
      </w:pPr>
      <w:r>
        <w:t>4. Applicability domain: Williams-leverage analysis places 33/35 and 31/33 compounds inside the domain for the two real-data systems (OECD Principle 3).</w:t>
      </w:r>
    </w:p>
    <w:p>
      <w:pPr>
        <w:spacing w:after="80"/>
        <w:ind w:left="432"/>
      </w:pPr>
      <w:r>
        <w:t>5. Outlook: inorganic B36N36 remains an attractive non-carbonaceous scaffold on solubility and biocompatibility grounds, but the present data do not establish a predictive structure-activity relationship, and functionalized derivatives and a validated model are left as future work.</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