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-7.3 kcal/mol, range -4.6 to -8.8) are not used as a quantitative endpoint. Each drug/B36N36 complex was built by offsetting the drug 3.2 Angstrom above the cage and relaxing it with GFN2-xTB (four orientations). Of the 30 organic drugs that could be modelled (the three square-planar Pt(II) agents fall outside the GFN2-xTB + RDKit build), 25 PHYSISORB on the pristine cage (closest contact 2.2-3.5 Angstrom, Delta_E_int,SP = -6 to -31 kcal/mol) and 5 CHEMISORB, forming a covalent B-O or B-N bond (contact 1.37-1.72 Angstrom, Delta_E_int,SP = -43 to -186 kcal/mol): the camptothecins SN-38 and topotecan, the anthracycline epirubicin, and the kinase inhibitors lapatinib and rucaparib, each through an accessible phenol, hydroxyl or lactam nucleophile. A descriptor-based QSPR of the physisorption energy is not predictive (Q2_CV = 0.0, n = 25); the docking-score QSPR reaches only Q2_CV = 0.11. A carboxylated B36N36-COOH derivative is discussed only as future work.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Results and Discussion</w:t>
      </w:r>
    </w:p>
    <w:p>
      <w:pPr>
        <w:pStyle w:val="Heading2"/>
        <w:keepNext/>
        <w:spacing w:before="280" w:after="120"/>
      </w:pPr>
      <w:r>
        <w:rPr>
          <w:rFonts w:ascii="Arial" w:hAnsi="Arial"/>
          <w:b/>
          <w:color w:val="1565C0"/>
          <w:sz w:val="24"/>
        </w:rPr>
        <w:t>2.1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2.2.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2.2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2.1 / Figure 11),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-7.90</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-7.25</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-7.80</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-7.33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-6.03</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-8.04</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-8.46</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-7.17</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-6.96</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-7.18</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-8.01</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-7.89</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-6.77</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-6.88</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-7.76</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-7.05</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-8.01</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-7.42</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-6.33</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-4.61</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-8.79</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-7.50</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-7.99</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-6.01</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-7.08</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-7.93</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479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479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2.3 3D Quantum Geometries and Intermolecular Interactions</w:t>
      </w:r>
    </w:p>
    <w:p>
      <w:r>
        <w:t>After full GFN2-xTB relaxation, the 30 modelled drug/B36N36 complexes fall into two regimes (Figure 5, Figure 11).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2.4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2.5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0.11 for the PARP1 Vina docking score (n = 30) and Q2_CV = 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11)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0.11</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11.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11.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2.6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-10.4435 -0.00373(MolWt) +0.02425(MolMR) -0.2049(E_HOMO) -0.0028(omega)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3.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-4.6 to -8.8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0.11 for the PARP1 docking score and 0.0 for the 25-point physisorption energy; the descriptor rankings are qualitative only. The model-free chemisorption/physisorption outcome is the robust result.</w:t>
      </w:r>
    </w:p>
    <w:p>
      <w:pPr>
        <w:spacing w:after="80"/>
        <w:ind w:left="432"/>
      </w:pPr>
      <w:r>
        <w:t>4. Applicability domain: Williams-leverage analysis (OECD Principle 3) places the modelled compounds inside the domain for both endpoints;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4. Experimental</w:t>
      </w:r>
    </w:p>
    <w:p>
      <w:pPr>
        <w:pStyle w:val="Heading2"/>
        <w:keepNext/>
        <w:spacing w:before="280" w:after="120"/>
      </w:pPr>
      <w:r>
        <w:rPr>
          <w:rFonts w:ascii="Arial" w:hAnsi="Arial"/>
          <w:b/>
          <w:color w:val="1565C0"/>
          <w:sz w:val="24"/>
        </w:rPr>
        <w:t>4.1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4.2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4.3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4.4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TNBC_B36N36_Supporting_Information.docx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