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pStyle w:val="Heading1"/>
        <w:spacing w:before="280" w:after="120"/>
      </w:pPr>
      <w:r>
        <w:rPr>
          <w:rFonts w:ascii="Arial" w:hAnsi="Arial"/>
          <w:b/>
          <w:color w:val="0D47A1"/>
          <w:sz w:val="28"/>
        </w:rPr>
        <w:t>Abstract</w:t>
      </w:r>
    </w:p>
    <w:p>
      <w:pPr>
        <w:spacing w:after="120" w:line="276" w:lineRule="auto"/>
      </w:pPr>
      <w:r>
        <w:rPr>
          <w:b/>
        </w:rPr>
        <w:t xml:space="preserve">Context </w:t>
      </w:r>
      <w:r>
        <w:t>Triple-negative breast cancer (TNBC) lacks the estrogen, progesterone and HER2 receptors other subtypes can be targeted through. We evaluate the pristine inorganic boron nitride nanocage B36N36 as a drug-loading scaffold for 33 anti-TNBC therapeutics, combining GFN2-xTB adsorption modeling, AutoDock Vina docking against the human PARP1 catalytic domain (PDB ID: 4UND), and a leak-free cross-validated QSPR surrogate. Of 30 organic drugs modelled, 25 physisorb on the pristine cage (ΔE_int,SP = -6 to -31 kcal/mol) and 5 chemisorb, forming a covalent B-O or B-N bond (-43 to -186 kcal/mol). Docking gave Vina scores (mean -7.3 kcal/mol, range -4.5 to -8.7), reported only as an exploratory ranking since self-redocking failed within 4 Å. QSPR is non-predictive for both endpoints (Q2_CV = 0.00, n = 25, physisorption; Q2_CV = -0.33, docking) -- the chemisorption/physisorption dichotomy itself is the honest result of this exploratory study.</w:t>
      </w:r>
    </w:p>
    <w:p>
      <w:pPr>
        <w:spacing w:after="120" w:line="276" w:lineRule="auto"/>
      </w:pPr>
      <w:r>
        <w:rPr>
          <w:b/>
        </w:rPr>
        <w:t xml:space="preserve">Methods </w:t>
      </w:r>
      <w:r>
        <w:t>Each isolated drug, the pristine B36N36 cage, and every complex were geometry-optimized and evaluated at single point with GFN2-xTB (xtb v6.7.1, D4 dispersion, gas phase); reactivity indices were read directly from the xtb output. The human PARP1 catalytic domain (PDB ID: 4UND) was docked with AutoDock Vina v1.2.7; self-redocking did not reproduce the native pose within 2 Å, so scores are a relative ranking only. A four-descriptor RidgeCV surrogate was evaluated by a leak-free nested 5×5 cross-validation, with StandardScaler and Ridge strength fit only on each outer-training split; SHAP from an ExtraTrees fit ranked descriptors. The applicability domain follows OECD Principle 3 (Williams leverage).</w:t>
      </w:r>
    </w:p>
    <w:p>
      <w:pPr>
        <w:spacing w:after="320"/>
      </w:pPr>
      <w:r>
        <w:rPr>
          <w:rFonts w:ascii="Arial" w:hAnsi="Arial"/>
          <w:b/>
        </w:rPr>
        <w:t xml:space="preserve">Keywords: </w:t>
      </w:r>
      <w:r>
        <w:rPr>
          <w:i/>
        </w:rPr>
      </w:r>
      <w:r>
        <w:t>Boron Nitride Nanocage; B36N36; Triple-Negative Breast Cancer; PARP1; Molecular Docking; QSAR/QSPR.</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Experimental</w:t>
      </w:r>
    </w:p>
    <w:p>
      <w:pPr>
        <w:pStyle w:val="Heading2"/>
        <w:keepNext/>
        <w:spacing w:before="280" w:after="120"/>
      </w:pPr>
      <w:r>
        <w:rPr>
          <w:rFonts w:ascii="Arial" w:hAnsi="Arial"/>
          <w:b/>
          <w:color w:val="1565C0"/>
          <w:sz w:val="24"/>
        </w:rPr>
        <w:t>2.1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The final curated cohort is 33 compounds; 30 organic drugs completed both the AutoDock Vina docking and a converged GFN2-xTB drug-cage relaxation (single reproducible run each), and the 3 square-planar Pt(II) agents are outside the GFN2-xTB+RDKit build. All analyses below use this single 30/33-compound table.</w:t>
      </w:r>
    </w:p>
    <w:p>
      <w:pPr>
        <w:pStyle w:val="Heading2"/>
        <w:keepNext/>
        <w:spacing w:before="280" w:after="120"/>
      </w:pPr>
      <w:r>
        <w:rPr>
          <w:rFonts w:ascii="Arial" w:hAnsi="Arial"/>
          <w:b/>
          <w:color w:val="1565C0"/>
          <w:sz w:val="24"/>
        </w:rPr>
        <w:t>2.2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2.3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2.4 Machine Learning, Explainable AI (SHAP), and OECD Validation</w:t>
      </w:r>
    </w:p>
    <w:p>
      <w:r>
        <w:t>A regularized RidgeCV surrogate model with four pre-specified descriptors (MW, molar refractivity, E_HOMO, electrophilicity omega; n = 30 for the PARP1 Vina docking endpoint and n = 25 for the pristine-B36N36 physisorption endpoint, chemisorbers excluded)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3.2.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3.2 Physical Molecular Docking on PARP1 and Active Site Relocation</w:t>
      </w:r>
    </w:p>
    <w:p>
      <w:r>
        <w:t>Table 1 lists, for the 30 organic drugs that could be modelled at GFN2-xTB level, the AutoDock Vina score against human PARP1 (PDB: 4UND), the relaxed GFN2-xTB interaction energy on the pristine B36N36 cage, the closest drug-cage contact and the resulting adsorption regime. The three square-planar Pt(II) agents (cisplatin, carboplatin, oxaliplatin) are not included: RDKit/MMFF has no Pt parameters, so a from-SMILES 3D build collapses and the subsequent GFN2-xTB energy is not meaningful. B36N36 interaction energy does not track PARP1 affinity: the strongest cage binders are the polyfunctional camptothecins and anthracyclines, which chemisorb (Section 3.1 / Figure 11), not the highest-scoring PARP inhibitors.</w:t>
      </w:r>
    </w:p>
    <w:p>
      <w:r>
        <w:rPr>
          <w:b/>
        </w:rPr>
        <w:t>Table 1. AutoDock Vina v1.2.7 scores on human PARP1 (PDB ID: 4UND) and relaxed GFN2-xTB interaction energies on pristine B36N36 for the 30 modelled organic drugs (real data only; 3 Pt(II) agents outside GFN2-xTB+RDKit scope are omitted).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Class</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PARP1 Vina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ΔE_int,SP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Contact (Å)</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Regime</w:t>
            </w:r>
          </w:p>
        </w:tc>
      </w:tr>
      <w:tr>
        <w:tc>
          <w:tcPr>
            <w:tcW w:type="dxa" w:w="1337"/>
            <w:vAlign w:val="center"/>
            <w:shd w:fill="F5F5F5"/>
            <w:tcMar>
              <w:top w:w="60" w:type="dxa"/>
              <w:bottom w:w="60" w:type="dxa"/>
              <w:left w:w="100" w:type="dxa"/>
              <w:right w:w="100" w:type="dxa"/>
            </w:tcMar>
          </w:tcPr>
          <w:p>
            <w:pPr>
              <w:spacing w:before="40" w:after="40"/>
              <w:jc w:val="left"/>
            </w:pPr>
            <w:r>
              <w:rPr>
                <w:b/>
                <w:sz w:val="18"/>
              </w:rPr>
              <w:t>SN-38</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DB_SN38</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-185.9</w:t>
            </w:r>
          </w:p>
        </w:tc>
        <w:tc>
          <w:tcPr>
            <w:tcW w:type="dxa" w:w="1337"/>
            <w:vAlign w:val="center"/>
            <w:shd w:fill="F5F5F5"/>
            <w:tcMar>
              <w:top w:w="60" w:type="dxa"/>
              <w:bottom w:w="60" w:type="dxa"/>
              <w:left w:w="100" w:type="dxa"/>
              <w:right w:w="100" w:type="dxa"/>
            </w:tcMar>
          </w:tcPr>
          <w:p>
            <w:pPr>
              <w:spacing w:before="40" w:after="40"/>
              <w:jc w:val="center"/>
            </w:pPr>
            <w:r>
              <w:rPr>
                <w:sz w:val="18"/>
              </w:rPr>
              <w:t>1.37</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Epirubicin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DB00445</w:t>
            </w:r>
          </w:p>
        </w:tc>
        <w:tc>
          <w:tcPr>
            <w:tcW w:type="dxa" w:w="1337"/>
            <w:vAlign w:val="center"/>
            <w:shd w:fill="FFFFFF"/>
            <w:tcMar>
              <w:top w:w="60" w:type="dxa"/>
              <w:bottom w:w="60" w:type="dxa"/>
              <w:left w:w="100" w:type="dxa"/>
              <w:right w:w="100" w:type="dxa"/>
            </w:tcMar>
          </w:tcPr>
          <w:p>
            <w:pPr>
              <w:spacing w:before="40" w:after="40"/>
              <w:jc w:val="center"/>
            </w:pPr>
            <w:r>
              <w:rPr>
                <w:sz w:val="18"/>
              </w:rPr>
              <w:t>-7.27</w:t>
            </w:r>
          </w:p>
        </w:tc>
        <w:tc>
          <w:tcPr>
            <w:tcW w:type="dxa" w:w="1337"/>
            <w:vAlign w:val="center"/>
            <w:shd w:fill="FFFFFF"/>
            <w:tcMar>
              <w:top w:w="60" w:type="dxa"/>
              <w:bottom w:w="60" w:type="dxa"/>
              <w:left w:w="100" w:type="dxa"/>
              <w:right w:w="100" w:type="dxa"/>
            </w:tcMar>
          </w:tcPr>
          <w:p>
            <w:pPr>
              <w:spacing w:before="40" w:after="40"/>
              <w:jc w:val="center"/>
            </w:pPr>
            <w:r>
              <w:rPr>
                <w:sz w:val="18"/>
              </w:rPr>
              <w:t>-54.0</w:t>
            </w:r>
          </w:p>
        </w:tc>
        <w:tc>
          <w:tcPr>
            <w:tcW w:type="dxa" w:w="1337"/>
            <w:vAlign w:val="center"/>
            <w:shd w:fill="FFFFFF"/>
            <w:tcMar>
              <w:top w:w="60" w:type="dxa"/>
              <w:bottom w:w="60" w:type="dxa"/>
              <w:left w:w="100" w:type="dxa"/>
              <w:right w:w="100" w:type="dxa"/>
            </w:tcMar>
          </w:tcPr>
          <w:p>
            <w:pPr>
              <w:spacing w:before="40" w:after="40"/>
              <w:jc w:val="center"/>
            </w:pPr>
            <w:r>
              <w:rPr>
                <w:sz w:val="18"/>
              </w:rPr>
              <w:t>1.61</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Topotecan</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DB01030</w:t>
            </w:r>
          </w:p>
        </w:tc>
        <w:tc>
          <w:tcPr>
            <w:tcW w:type="dxa" w:w="1337"/>
            <w:vAlign w:val="center"/>
            <w:shd w:fill="F5F5F5"/>
            <w:tcMar>
              <w:top w:w="60" w:type="dxa"/>
              <w:bottom w:w="60" w:type="dxa"/>
              <w:left w:w="100" w:type="dxa"/>
              <w:right w:w="100" w:type="dxa"/>
            </w:tcMar>
          </w:tcPr>
          <w:p>
            <w:pPr>
              <w:spacing w:before="40" w:after="40"/>
              <w:jc w:val="center"/>
            </w:pPr>
            <w:r>
              <w:rPr>
                <w:sz w:val="18"/>
              </w:rPr>
              <w:t>-7.81</w:t>
            </w:r>
          </w:p>
        </w:tc>
        <w:tc>
          <w:tcPr>
            <w:tcW w:type="dxa" w:w="1337"/>
            <w:vAlign w:val="center"/>
            <w:shd w:fill="F5F5F5"/>
            <w:tcMar>
              <w:top w:w="60" w:type="dxa"/>
              <w:bottom w:w="60" w:type="dxa"/>
              <w:left w:w="100" w:type="dxa"/>
              <w:right w:w="100" w:type="dxa"/>
            </w:tcMar>
          </w:tcPr>
          <w:p>
            <w:pPr>
              <w:spacing w:before="40" w:after="40"/>
              <w:jc w:val="center"/>
            </w:pPr>
            <w:r>
              <w:rPr>
                <w:sz w:val="18"/>
              </w:rPr>
              <w:t>-51.1</w:t>
            </w:r>
          </w:p>
        </w:tc>
        <w:tc>
          <w:tcPr>
            <w:tcW w:type="dxa" w:w="1337"/>
            <w:vAlign w:val="center"/>
            <w:shd w:fill="F5F5F5"/>
            <w:tcMar>
              <w:top w:w="60" w:type="dxa"/>
              <w:bottom w:w="60" w:type="dxa"/>
              <w:left w:w="100" w:type="dxa"/>
              <w:right w:w="100" w:type="dxa"/>
            </w:tcMar>
          </w:tcPr>
          <w:p>
            <w:pPr>
              <w:spacing w:before="40" w:after="40"/>
              <w:jc w:val="center"/>
            </w:pPr>
            <w:r>
              <w:rPr>
                <w:sz w:val="18"/>
              </w:rPr>
              <w:t>1.61</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Lapatinib</w:t>
            </w:r>
          </w:p>
        </w:tc>
        <w:tc>
          <w:tcPr>
            <w:tcW w:type="dxa" w:w="1337"/>
            <w:vAlign w:val="center"/>
            <w:shd w:fill="FFFFFF"/>
            <w:tcMar>
              <w:top w:w="60" w:type="dxa"/>
              <w:bottom w:w="60" w:type="dxa"/>
              <w:left w:w="100" w:type="dxa"/>
              <w:right w:w="100" w:type="dxa"/>
            </w:tcMar>
          </w:tcPr>
          <w:p>
            <w:pPr>
              <w:spacing w:before="40" w:after="40"/>
              <w:jc w:val="left"/>
            </w:pPr>
            <w:r>
              <w:rPr>
                <w:sz w:val="18"/>
              </w:rPr>
              <w:t>EGFR/HER2 TKI</w:t>
            </w:r>
          </w:p>
        </w:tc>
        <w:tc>
          <w:tcPr>
            <w:tcW w:type="dxa" w:w="1337"/>
            <w:vAlign w:val="center"/>
            <w:shd w:fill="FFFFFF"/>
            <w:tcMar>
              <w:top w:w="60" w:type="dxa"/>
              <w:bottom w:w="60" w:type="dxa"/>
              <w:left w:w="100" w:type="dxa"/>
              <w:right w:w="100" w:type="dxa"/>
            </w:tcMar>
          </w:tcPr>
          <w:p>
            <w:pPr>
              <w:spacing w:before="40" w:after="40"/>
              <w:jc w:val="left"/>
            </w:pPr>
            <w:r>
              <w:rPr>
                <w:sz w:val="18"/>
              </w:rPr>
              <w:t>DB01259</w:t>
            </w:r>
          </w:p>
        </w:tc>
        <w:tc>
          <w:tcPr>
            <w:tcW w:type="dxa" w:w="1337"/>
            <w:vAlign w:val="center"/>
            <w:shd w:fill="FFFFFF"/>
            <w:tcMar>
              <w:top w:w="60" w:type="dxa"/>
              <w:bottom w:w="60" w:type="dxa"/>
              <w:left w:w="100" w:type="dxa"/>
              <w:right w:w="100" w:type="dxa"/>
            </w:tcMar>
          </w:tcPr>
          <w:p>
            <w:pPr>
              <w:spacing w:before="40" w:after="40"/>
              <w:jc w:val="center"/>
            </w:pPr>
            <w:r>
              <w:rPr>
                <w:sz w:val="18"/>
              </w:rPr>
              <w:t>-7.23</w:t>
            </w:r>
          </w:p>
        </w:tc>
        <w:tc>
          <w:tcPr>
            <w:tcW w:type="dxa" w:w="1337"/>
            <w:vAlign w:val="center"/>
            <w:shd w:fill="FFFFFF"/>
            <w:tcMar>
              <w:top w:w="60" w:type="dxa"/>
              <w:bottom w:w="60" w:type="dxa"/>
              <w:left w:w="100" w:type="dxa"/>
              <w:right w:w="100" w:type="dxa"/>
            </w:tcMar>
          </w:tcPr>
          <w:p>
            <w:pPr>
              <w:spacing w:before="40" w:after="40"/>
              <w:jc w:val="center"/>
            </w:pPr>
            <w:r>
              <w:rPr>
                <w:sz w:val="18"/>
              </w:rPr>
              <w:t>-48.9</w:t>
            </w:r>
          </w:p>
        </w:tc>
        <w:tc>
          <w:tcPr>
            <w:tcW w:type="dxa" w:w="1337"/>
            <w:vAlign w:val="center"/>
            <w:shd w:fill="FFFFFF"/>
            <w:tcMar>
              <w:top w:w="60" w:type="dxa"/>
              <w:bottom w:w="60" w:type="dxa"/>
              <w:left w:w="100" w:type="dxa"/>
              <w:right w:w="100" w:type="dxa"/>
            </w:tcMar>
          </w:tcPr>
          <w:p>
            <w:pPr>
              <w:spacing w:before="40" w:after="40"/>
              <w:jc w:val="center"/>
            </w:pPr>
            <w:r>
              <w:rPr>
                <w:sz w:val="18"/>
              </w:rPr>
              <w:t>1.63</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Rucaparib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DB12330</w:t>
            </w:r>
          </w:p>
        </w:tc>
        <w:tc>
          <w:tcPr>
            <w:tcW w:type="dxa" w:w="1337"/>
            <w:vAlign w:val="center"/>
            <w:shd w:fill="F5F5F5"/>
            <w:tcMar>
              <w:top w:w="60" w:type="dxa"/>
              <w:bottom w:w="60" w:type="dxa"/>
              <w:left w:w="100" w:type="dxa"/>
              <w:right w:w="100" w:type="dxa"/>
            </w:tcMar>
          </w:tcPr>
          <w:p>
            <w:pPr>
              <w:spacing w:before="40" w:after="40"/>
              <w:jc w:val="center"/>
            </w:pPr>
            <w:r>
              <w:rPr>
                <w:sz w:val="18"/>
              </w:rPr>
              <w:t>-6.10</w:t>
            </w:r>
          </w:p>
        </w:tc>
        <w:tc>
          <w:tcPr>
            <w:tcW w:type="dxa" w:w="1337"/>
            <w:vAlign w:val="center"/>
            <w:shd w:fill="F5F5F5"/>
            <w:tcMar>
              <w:top w:w="60" w:type="dxa"/>
              <w:bottom w:w="60" w:type="dxa"/>
              <w:left w:w="100" w:type="dxa"/>
              <w:right w:w="100" w:type="dxa"/>
            </w:tcMar>
          </w:tcPr>
          <w:p>
            <w:pPr>
              <w:spacing w:before="40" w:after="40"/>
              <w:jc w:val="center"/>
            </w:pPr>
            <w:r>
              <w:rPr>
                <w:sz w:val="18"/>
              </w:rPr>
              <w:t>-43.4</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Palbociclib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DB09073</w:t>
            </w:r>
          </w:p>
        </w:tc>
        <w:tc>
          <w:tcPr>
            <w:tcW w:type="dxa" w:w="1337"/>
            <w:vAlign w:val="center"/>
            <w:shd w:fill="FFFFFF"/>
            <w:tcMar>
              <w:top w:w="60" w:type="dxa"/>
              <w:bottom w:w="60" w:type="dxa"/>
              <w:left w:w="100" w:type="dxa"/>
              <w:right w:w="100" w:type="dxa"/>
            </w:tcMar>
          </w:tcPr>
          <w:p>
            <w:pPr>
              <w:spacing w:before="40" w:after="40"/>
              <w:jc w:val="center"/>
            </w:pPr>
            <w:r>
              <w:rPr>
                <w:sz w:val="18"/>
              </w:rPr>
              <w:t>-7.87</w:t>
            </w:r>
          </w:p>
        </w:tc>
        <w:tc>
          <w:tcPr>
            <w:tcW w:type="dxa" w:w="1337"/>
            <w:vAlign w:val="center"/>
            <w:shd w:fill="FFFFFF"/>
            <w:tcMar>
              <w:top w:w="60" w:type="dxa"/>
              <w:bottom w:w="60" w:type="dxa"/>
              <w:left w:w="100" w:type="dxa"/>
              <w:right w:w="100" w:type="dxa"/>
            </w:tcMar>
          </w:tcPr>
          <w:p>
            <w:pPr>
              <w:spacing w:before="40" w:after="40"/>
              <w:jc w:val="center"/>
            </w:pPr>
            <w:r>
              <w:rPr>
                <w:sz w:val="18"/>
              </w:rPr>
              <w:t>-30.7</w:t>
            </w:r>
          </w:p>
        </w:tc>
        <w:tc>
          <w:tcPr>
            <w:tcW w:type="dxa" w:w="1337"/>
            <w:vAlign w:val="center"/>
            <w:shd w:fill="FFFFFF"/>
            <w:tcMar>
              <w:top w:w="60" w:type="dxa"/>
              <w:bottom w:w="60" w:type="dxa"/>
              <w:left w:w="100" w:type="dxa"/>
              <w:right w:w="100" w:type="dxa"/>
            </w:tcMar>
          </w:tcPr>
          <w:p>
            <w:pPr>
              <w:spacing w:before="40" w:after="40"/>
              <w:jc w:val="center"/>
            </w:pPr>
            <w:r>
              <w:rPr>
                <w:sz w:val="18"/>
              </w:rPr>
              <w:t>2.89</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Abemaciclib</w:t>
            </w:r>
          </w:p>
        </w:tc>
        <w:tc>
          <w:tcPr>
            <w:tcW w:type="dxa" w:w="1337"/>
            <w:vAlign w:val="center"/>
            <w:shd w:fill="F5F5F5"/>
            <w:tcMar>
              <w:top w:w="60" w:type="dxa"/>
              <w:bottom w:w="60" w:type="dxa"/>
              <w:left w:w="100" w:type="dxa"/>
              <w:right w:w="100" w:type="dxa"/>
            </w:tcMar>
          </w:tcPr>
          <w:p>
            <w:pPr>
              <w:spacing w:before="40" w:after="40"/>
              <w:jc w:val="left"/>
            </w:pPr>
            <w:r>
              <w:rPr>
                <w:sz w:val="18"/>
              </w:rPr>
              <w:t>CDK4/6 Inhibitor</w:t>
            </w:r>
          </w:p>
        </w:tc>
        <w:tc>
          <w:tcPr>
            <w:tcW w:type="dxa" w:w="1337"/>
            <w:vAlign w:val="center"/>
            <w:shd w:fill="F5F5F5"/>
            <w:tcMar>
              <w:top w:w="60" w:type="dxa"/>
              <w:bottom w:w="60" w:type="dxa"/>
              <w:left w:w="100" w:type="dxa"/>
              <w:right w:w="100" w:type="dxa"/>
            </w:tcMar>
          </w:tcPr>
          <w:p>
            <w:pPr>
              <w:spacing w:before="40" w:after="40"/>
              <w:jc w:val="left"/>
            </w:pPr>
            <w:r>
              <w:rPr>
                <w:sz w:val="18"/>
              </w:rPr>
              <w:t>DB12001</w:t>
            </w:r>
          </w:p>
        </w:tc>
        <w:tc>
          <w:tcPr>
            <w:tcW w:type="dxa" w:w="1337"/>
            <w:vAlign w:val="center"/>
            <w:shd w:fill="F5F5F5"/>
            <w:tcMar>
              <w:top w:w="60" w:type="dxa"/>
              <w:bottom w:w="60" w:type="dxa"/>
              <w:left w:w="100" w:type="dxa"/>
              <w:right w:w="100" w:type="dxa"/>
            </w:tcMar>
          </w:tcPr>
          <w:p>
            <w:pPr>
              <w:spacing w:before="40" w:after="40"/>
              <w:jc w:val="center"/>
            </w:pPr>
            <w:r>
              <w:rPr>
                <w:sz w:val="18"/>
              </w:rPr>
              <w:t>-8.44</w:t>
            </w:r>
          </w:p>
        </w:tc>
        <w:tc>
          <w:tcPr>
            <w:tcW w:type="dxa" w:w="1337"/>
            <w:vAlign w:val="center"/>
            <w:shd w:fill="F5F5F5"/>
            <w:tcMar>
              <w:top w:w="60" w:type="dxa"/>
              <w:bottom w:w="60" w:type="dxa"/>
              <w:left w:w="100" w:type="dxa"/>
              <w:right w:w="100" w:type="dxa"/>
            </w:tcMar>
          </w:tcPr>
          <w:p>
            <w:pPr>
              <w:spacing w:before="40" w:after="40"/>
              <w:jc w:val="center"/>
            </w:pPr>
            <w:r>
              <w:rPr>
                <w:sz w:val="18"/>
              </w:rPr>
              <w:t>-28.8</w:t>
            </w:r>
          </w:p>
        </w:tc>
        <w:tc>
          <w:tcPr>
            <w:tcW w:type="dxa" w:w="1337"/>
            <w:vAlign w:val="center"/>
            <w:shd w:fill="F5F5F5"/>
            <w:tcMar>
              <w:top w:w="60" w:type="dxa"/>
              <w:bottom w:w="60" w:type="dxa"/>
              <w:left w:w="100" w:type="dxa"/>
              <w:right w:w="100" w:type="dxa"/>
            </w:tcMar>
          </w:tcPr>
          <w:p>
            <w:pPr>
              <w:spacing w:before="40" w:after="40"/>
              <w:jc w:val="center"/>
            </w:pPr>
            <w:r>
              <w:rPr>
                <w:sz w:val="18"/>
              </w:rPr>
              <w:t>2.83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Doxorubicin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DB00997</w:t>
            </w:r>
          </w:p>
        </w:tc>
        <w:tc>
          <w:tcPr>
            <w:tcW w:type="dxa" w:w="1337"/>
            <w:vAlign w:val="center"/>
            <w:shd w:fill="FFFFFF"/>
            <w:tcMar>
              <w:top w:w="60" w:type="dxa"/>
              <w:bottom w:w="60" w:type="dxa"/>
              <w:left w:w="100" w:type="dxa"/>
              <w:right w:w="100" w:type="dxa"/>
            </w:tcMar>
          </w:tcPr>
          <w:p>
            <w:pPr>
              <w:spacing w:before="40" w:after="40"/>
              <w:jc w:val="center"/>
            </w:pPr>
            <w:r>
              <w:rPr>
                <w:sz w:val="18"/>
              </w:rPr>
              <w:t>-7.15</w:t>
            </w:r>
          </w:p>
        </w:tc>
        <w:tc>
          <w:tcPr>
            <w:tcW w:type="dxa" w:w="1337"/>
            <w:vAlign w:val="center"/>
            <w:shd w:fill="FFFFFF"/>
            <w:tcMar>
              <w:top w:w="60" w:type="dxa"/>
              <w:bottom w:w="60" w:type="dxa"/>
              <w:left w:w="100" w:type="dxa"/>
              <w:right w:w="100" w:type="dxa"/>
            </w:tcMar>
          </w:tcPr>
          <w:p>
            <w:pPr>
              <w:spacing w:before="40" w:after="40"/>
              <w:jc w:val="center"/>
            </w:pPr>
            <w:r>
              <w:rPr>
                <w:sz w:val="18"/>
              </w:rPr>
              <w:t>-28.7</w:t>
            </w:r>
          </w:p>
        </w:tc>
        <w:tc>
          <w:tcPr>
            <w:tcW w:type="dxa" w:w="1337"/>
            <w:vAlign w:val="center"/>
            <w:shd w:fill="FFFFFF"/>
            <w:tcMar>
              <w:top w:w="60" w:type="dxa"/>
              <w:bottom w:w="60" w:type="dxa"/>
              <w:left w:w="100" w:type="dxa"/>
              <w:right w:w="100" w:type="dxa"/>
            </w:tcMar>
          </w:tcPr>
          <w:p>
            <w:pPr>
              <w:spacing w:before="40" w:after="40"/>
              <w:jc w:val="center"/>
            </w:pPr>
            <w:r>
              <w:rPr>
                <w:sz w:val="18"/>
              </w:rPr>
              <w:t>2.73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Gefitinib</w:t>
            </w:r>
          </w:p>
        </w:tc>
        <w:tc>
          <w:tcPr>
            <w:tcW w:type="dxa" w:w="1337"/>
            <w:vAlign w:val="center"/>
            <w:shd w:fill="F5F5F5"/>
            <w:tcMar>
              <w:top w:w="60" w:type="dxa"/>
              <w:bottom w:w="60" w:type="dxa"/>
              <w:left w:w="100" w:type="dxa"/>
              <w:right w:w="100" w:type="dxa"/>
            </w:tcMar>
          </w:tcPr>
          <w:p>
            <w:pPr>
              <w:spacing w:before="40" w:after="40"/>
              <w:jc w:val="left"/>
            </w:pPr>
            <w:r>
              <w:rPr>
                <w:sz w:val="18"/>
              </w:rPr>
              <w:t>EGFR TKI</w:t>
            </w:r>
          </w:p>
        </w:tc>
        <w:tc>
          <w:tcPr>
            <w:tcW w:type="dxa" w:w="1337"/>
            <w:vAlign w:val="center"/>
            <w:shd w:fill="F5F5F5"/>
            <w:tcMar>
              <w:top w:w="60" w:type="dxa"/>
              <w:bottom w:w="60" w:type="dxa"/>
              <w:left w:w="100" w:type="dxa"/>
              <w:right w:w="100" w:type="dxa"/>
            </w:tcMar>
          </w:tcPr>
          <w:p>
            <w:pPr>
              <w:spacing w:before="40" w:after="40"/>
              <w:jc w:val="left"/>
            </w:pPr>
            <w:r>
              <w:rPr>
                <w:sz w:val="18"/>
              </w:rPr>
              <w:t>DB00317</w:t>
            </w:r>
          </w:p>
        </w:tc>
        <w:tc>
          <w:tcPr>
            <w:tcW w:type="dxa" w:w="1337"/>
            <w:vAlign w:val="center"/>
            <w:shd w:fill="F5F5F5"/>
            <w:tcMar>
              <w:top w:w="60" w:type="dxa"/>
              <w:bottom w:w="60" w:type="dxa"/>
              <w:left w:w="100" w:type="dxa"/>
              <w:right w:w="100" w:type="dxa"/>
            </w:tcMar>
          </w:tcPr>
          <w:p>
            <w:pPr>
              <w:spacing w:before="40" w:after="40"/>
              <w:jc w:val="center"/>
            </w:pPr>
            <w:r>
              <w:rPr>
                <w:sz w:val="18"/>
              </w:rPr>
              <w:t>-6.95</w:t>
            </w:r>
          </w:p>
        </w:tc>
        <w:tc>
          <w:tcPr>
            <w:tcW w:type="dxa" w:w="1337"/>
            <w:vAlign w:val="center"/>
            <w:shd w:fill="F5F5F5"/>
            <w:tcMar>
              <w:top w:w="60" w:type="dxa"/>
              <w:bottom w:w="60" w:type="dxa"/>
              <w:left w:w="100" w:type="dxa"/>
              <w:right w:w="100" w:type="dxa"/>
            </w:tcMar>
          </w:tcPr>
          <w:p>
            <w:pPr>
              <w:spacing w:before="40" w:after="40"/>
              <w:jc w:val="center"/>
            </w:pPr>
            <w:r>
              <w:rPr>
                <w:sz w:val="18"/>
              </w:rPr>
              <w:t>-28.0</w:t>
            </w:r>
          </w:p>
        </w:tc>
        <w:tc>
          <w:tcPr>
            <w:tcW w:type="dxa" w:w="1337"/>
            <w:vAlign w:val="center"/>
            <w:shd w:fill="F5F5F5"/>
            <w:tcMar>
              <w:top w:w="60" w:type="dxa"/>
              <w:bottom w:w="60" w:type="dxa"/>
              <w:left w:w="100" w:type="dxa"/>
              <w:right w:w="100" w:type="dxa"/>
            </w:tcMar>
          </w:tcPr>
          <w:p>
            <w:pPr>
              <w:spacing w:before="40" w:after="40"/>
              <w:jc w:val="center"/>
            </w:pPr>
            <w:r>
              <w:rPr>
                <w:sz w:val="18"/>
              </w:rPr>
              <w:t>2.86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Ipatasertib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DB12534</w:t>
            </w:r>
          </w:p>
        </w:tc>
        <w:tc>
          <w:tcPr>
            <w:tcW w:type="dxa" w:w="1337"/>
            <w:vAlign w:val="center"/>
            <w:shd w:fill="FFFFFF"/>
            <w:tcMar>
              <w:top w:w="60" w:type="dxa"/>
              <w:bottom w:w="60" w:type="dxa"/>
              <w:left w:w="100" w:type="dxa"/>
              <w:right w:w="100" w:type="dxa"/>
            </w:tcMar>
          </w:tcPr>
          <w:p>
            <w:pPr>
              <w:spacing w:before="40" w:after="40"/>
              <w:jc w:val="center"/>
            </w:pPr>
            <w:r>
              <w:rPr>
                <w:sz w:val="18"/>
              </w:rPr>
              <w:t>-7.22</w:t>
            </w:r>
          </w:p>
        </w:tc>
        <w:tc>
          <w:tcPr>
            <w:tcW w:type="dxa" w:w="1337"/>
            <w:vAlign w:val="center"/>
            <w:shd w:fill="FFFFFF"/>
            <w:tcMar>
              <w:top w:w="60" w:type="dxa"/>
              <w:bottom w:w="60" w:type="dxa"/>
              <w:left w:w="100" w:type="dxa"/>
              <w:right w:w="100" w:type="dxa"/>
            </w:tcMar>
          </w:tcPr>
          <w:p>
            <w:pPr>
              <w:spacing w:before="40" w:after="40"/>
              <w:jc w:val="center"/>
            </w:pPr>
            <w:r>
              <w:rPr>
                <w:sz w:val="18"/>
              </w:rPr>
              <w:t>-26.4</w:t>
            </w:r>
          </w:p>
        </w:tc>
        <w:tc>
          <w:tcPr>
            <w:tcW w:type="dxa" w:w="1337"/>
            <w:vAlign w:val="center"/>
            <w:shd w:fill="FFFFFF"/>
            <w:tcMar>
              <w:top w:w="60" w:type="dxa"/>
              <w:bottom w:w="60" w:type="dxa"/>
              <w:left w:w="100" w:type="dxa"/>
              <w:right w:w="100" w:type="dxa"/>
            </w:tcMar>
          </w:tcPr>
          <w:p>
            <w:pPr>
              <w:spacing w:before="40" w:after="40"/>
              <w:jc w:val="center"/>
            </w:pPr>
            <w:r>
              <w:rPr>
                <w:sz w:val="18"/>
              </w:rPr>
              <w:t>2.23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Trametinib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DB08911</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-25.9</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Alpelisib</w:t>
            </w:r>
          </w:p>
        </w:tc>
        <w:tc>
          <w:tcPr>
            <w:tcW w:type="dxa" w:w="1337"/>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DB12349</w:t>
            </w:r>
          </w:p>
        </w:tc>
        <w:tc>
          <w:tcPr>
            <w:tcW w:type="dxa" w:w="1337"/>
            <w:vAlign w:val="center"/>
            <w:shd w:fill="FFFFFF"/>
            <w:tcMar>
              <w:top w:w="60" w:type="dxa"/>
              <w:bottom w:w="60" w:type="dxa"/>
              <w:left w:w="100" w:type="dxa"/>
              <w:right w:w="100" w:type="dxa"/>
            </w:tcMar>
          </w:tcPr>
          <w:p>
            <w:pPr>
              <w:spacing w:before="40" w:after="40"/>
              <w:jc w:val="center"/>
            </w:pPr>
            <w:r>
              <w:rPr>
                <w:sz w:val="18"/>
              </w:rPr>
              <w:t>-7.08</w:t>
            </w:r>
          </w:p>
        </w:tc>
        <w:tc>
          <w:tcPr>
            <w:tcW w:type="dxa" w:w="1337"/>
            <w:vAlign w:val="center"/>
            <w:shd w:fill="FFFFFF"/>
            <w:tcMar>
              <w:top w:w="60" w:type="dxa"/>
              <w:bottom w:w="60" w:type="dxa"/>
              <w:left w:w="100" w:type="dxa"/>
              <w:right w:w="100" w:type="dxa"/>
            </w:tcMar>
          </w:tcPr>
          <w:p>
            <w:pPr>
              <w:spacing w:before="40" w:after="40"/>
              <w:jc w:val="center"/>
            </w:pPr>
            <w:r>
              <w:rPr>
                <w:sz w:val="18"/>
              </w:rPr>
              <w:t>-24.9</w:t>
            </w:r>
          </w:p>
        </w:tc>
        <w:tc>
          <w:tcPr>
            <w:tcW w:type="dxa" w:w="1337"/>
            <w:vAlign w:val="center"/>
            <w:shd w:fill="FFFFFF"/>
            <w:tcMar>
              <w:top w:w="60" w:type="dxa"/>
              <w:bottom w:w="60" w:type="dxa"/>
              <w:left w:w="100" w:type="dxa"/>
              <w:right w:w="100" w:type="dxa"/>
            </w:tcMar>
          </w:tcPr>
          <w:p>
            <w:pPr>
              <w:spacing w:before="40" w:after="40"/>
              <w:jc w:val="center"/>
            </w:pPr>
            <w:r>
              <w:rPr>
                <w:sz w:val="18"/>
              </w:rPr>
              <w:t>2.81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Talazoparib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DB11760</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-24.1</w:t>
            </w:r>
          </w:p>
        </w:tc>
        <w:tc>
          <w:tcPr>
            <w:tcW w:type="dxa" w:w="1337"/>
            <w:vAlign w:val="center"/>
            <w:shd w:fill="F5F5F5"/>
            <w:tcMar>
              <w:top w:w="60" w:type="dxa"/>
              <w:bottom w:w="60" w:type="dxa"/>
              <w:left w:w="100" w:type="dxa"/>
              <w:right w:w="100" w:type="dxa"/>
            </w:tcMar>
          </w:tcPr>
          <w:p>
            <w:pPr>
              <w:spacing w:before="40" w:after="40"/>
              <w:jc w:val="center"/>
            </w:pPr>
            <w:r>
              <w:rPr>
                <w:sz w:val="18"/>
              </w:rPr>
              <w:t>2.93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Erlotinib</w:t>
            </w:r>
          </w:p>
        </w:tc>
        <w:tc>
          <w:tcPr>
            <w:tcW w:type="dxa" w:w="1337"/>
            <w:vAlign w:val="center"/>
            <w:shd w:fill="FFFFFF"/>
            <w:tcMar>
              <w:top w:w="60" w:type="dxa"/>
              <w:bottom w:w="60" w:type="dxa"/>
              <w:left w:w="100" w:type="dxa"/>
              <w:right w:w="100" w:type="dxa"/>
            </w:tcMar>
          </w:tcPr>
          <w:p>
            <w:pPr>
              <w:spacing w:before="40" w:after="40"/>
              <w:jc w:val="left"/>
            </w:pPr>
            <w:r>
              <w:rPr>
                <w:sz w:val="18"/>
              </w:rPr>
              <w:t>EGFR TKI</w:t>
            </w:r>
          </w:p>
        </w:tc>
        <w:tc>
          <w:tcPr>
            <w:tcW w:type="dxa" w:w="1337"/>
            <w:vAlign w:val="center"/>
            <w:shd w:fill="FFFFFF"/>
            <w:tcMar>
              <w:top w:w="60" w:type="dxa"/>
              <w:bottom w:w="60" w:type="dxa"/>
              <w:left w:w="100" w:type="dxa"/>
              <w:right w:w="100" w:type="dxa"/>
            </w:tcMar>
          </w:tcPr>
          <w:p>
            <w:pPr>
              <w:spacing w:before="40" w:after="40"/>
              <w:jc w:val="left"/>
            </w:pPr>
            <w:r>
              <w:rPr>
                <w:sz w:val="18"/>
              </w:rPr>
              <w:t>DB00530</w:t>
            </w:r>
          </w:p>
        </w:tc>
        <w:tc>
          <w:tcPr>
            <w:tcW w:type="dxa" w:w="1337"/>
            <w:vAlign w:val="center"/>
            <w:shd w:fill="FFFFFF"/>
            <w:tcMar>
              <w:top w:w="60" w:type="dxa"/>
              <w:bottom w:w="60" w:type="dxa"/>
              <w:left w:w="100" w:type="dxa"/>
              <w:right w:w="100" w:type="dxa"/>
            </w:tcMar>
          </w:tcPr>
          <w:p>
            <w:pPr>
              <w:spacing w:before="40" w:after="40"/>
              <w:jc w:val="center"/>
            </w:pPr>
            <w:r>
              <w:rPr>
                <w:sz w:val="18"/>
              </w:rPr>
              <w:t>-6.31</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3.02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Cabazitaxel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DB08868</w:t>
            </w:r>
          </w:p>
        </w:tc>
        <w:tc>
          <w:tcPr>
            <w:tcW w:type="dxa" w:w="1337"/>
            <w:vAlign w:val="center"/>
            <w:shd w:fill="F5F5F5"/>
            <w:tcMar>
              <w:top w:w="60" w:type="dxa"/>
              <w:bottom w:w="60" w:type="dxa"/>
              <w:left w:w="100" w:type="dxa"/>
              <w:right w:w="100" w:type="dxa"/>
            </w:tcMar>
          </w:tcPr>
          <w:p>
            <w:pPr>
              <w:spacing w:before="40" w:after="40"/>
              <w:jc w:val="center"/>
            </w:pPr>
            <w:r>
              <w:rPr>
                <w:sz w:val="18"/>
              </w:rPr>
              <w:t>-6.90</w:t>
            </w:r>
          </w:p>
        </w:tc>
        <w:tc>
          <w:tcPr>
            <w:tcW w:type="dxa" w:w="1337"/>
            <w:vAlign w:val="center"/>
            <w:shd w:fill="F5F5F5"/>
            <w:tcMar>
              <w:top w:w="60" w:type="dxa"/>
              <w:bottom w:w="60" w:type="dxa"/>
              <w:left w:w="100" w:type="dxa"/>
              <w:right w:w="100" w:type="dxa"/>
            </w:tcMar>
          </w:tcPr>
          <w:p>
            <w:pPr>
              <w:spacing w:before="40" w:after="40"/>
              <w:jc w:val="center"/>
            </w:pPr>
            <w:r>
              <w:rPr>
                <w:sz w:val="18"/>
              </w:rPr>
              <w:t>-23.1</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Eribulin</w:t>
            </w:r>
          </w:p>
        </w:tc>
        <w:tc>
          <w:tcPr>
            <w:tcW w:type="dxa" w:w="1337"/>
            <w:vAlign w:val="center"/>
            <w:shd w:fill="FFFFFF"/>
            <w:tcMar>
              <w:top w:w="60" w:type="dxa"/>
              <w:bottom w:w="60" w:type="dxa"/>
              <w:left w:w="100" w:type="dxa"/>
              <w:right w:w="100" w:type="dxa"/>
            </w:tcMar>
          </w:tcPr>
          <w:p>
            <w:pPr>
              <w:spacing w:before="40" w:after="40"/>
              <w:jc w:val="left"/>
            </w:pPr>
            <w:r>
              <w:rPr>
                <w:sz w:val="18"/>
              </w:rPr>
              <w:t>Microtubule Inhibitor</w:t>
            </w:r>
          </w:p>
        </w:tc>
        <w:tc>
          <w:tcPr>
            <w:tcW w:type="dxa" w:w="1337"/>
            <w:vAlign w:val="center"/>
            <w:shd w:fill="FFFFFF"/>
            <w:tcMar>
              <w:top w:w="60" w:type="dxa"/>
              <w:bottom w:w="60" w:type="dxa"/>
              <w:left w:w="100" w:type="dxa"/>
              <w:right w:w="100" w:type="dxa"/>
            </w:tcMar>
          </w:tcPr>
          <w:p>
            <w:pPr>
              <w:spacing w:before="40" w:after="40"/>
              <w:jc w:val="left"/>
            </w:pPr>
            <w:r>
              <w:rPr>
                <w:sz w:val="18"/>
              </w:rPr>
              <w:t>DB08871</w:t>
            </w:r>
          </w:p>
        </w:tc>
        <w:tc>
          <w:tcPr>
            <w:tcW w:type="dxa" w:w="1337"/>
            <w:vAlign w:val="center"/>
            <w:shd w:fill="FFFFFF"/>
            <w:tcMar>
              <w:top w:w="60" w:type="dxa"/>
              <w:bottom w:w="60" w:type="dxa"/>
              <w:left w:w="100" w:type="dxa"/>
              <w:right w:w="100" w:type="dxa"/>
            </w:tcMar>
          </w:tcPr>
          <w:p>
            <w:pPr>
              <w:spacing w:before="40" w:after="40"/>
              <w:jc w:val="center"/>
            </w:pPr>
            <w:r>
              <w:rPr>
                <w:sz w:val="18"/>
              </w:rPr>
              <w:t>-6.87</w:t>
            </w:r>
          </w:p>
        </w:tc>
        <w:tc>
          <w:tcPr>
            <w:tcW w:type="dxa" w:w="1337"/>
            <w:vAlign w:val="center"/>
            <w:shd w:fill="FFFFFF"/>
            <w:tcMar>
              <w:top w:w="60" w:type="dxa"/>
              <w:bottom w:w="60" w:type="dxa"/>
              <w:left w:w="100" w:type="dxa"/>
              <w:right w:w="100" w:type="dxa"/>
            </w:tcMar>
          </w:tcPr>
          <w:p>
            <w:pPr>
              <w:spacing w:before="40" w:after="40"/>
              <w:jc w:val="center"/>
            </w:pPr>
            <w:r>
              <w:rPr>
                <w:sz w:val="18"/>
              </w:rPr>
              <w:t>-23.1</w:t>
            </w:r>
          </w:p>
        </w:tc>
        <w:tc>
          <w:tcPr>
            <w:tcW w:type="dxa" w:w="1337"/>
            <w:vAlign w:val="center"/>
            <w:shd w:fill="FFFFFF"/>
            <w:tcMar>
              <w:top w:w="60" w:type="dxa"/>
              <w:bottom w:w="60" w:type="dxa"/>
              <w:left w:w="100" w:type="dxa"/>
              <w:right w:w="100" w:type="dxa"/>
            </w:tcMar>
          </w:tcPr>
          <w:p>
            <w:pPr>
              <w:spacing w:before="40" w:after="40"/>
              <w:jc w:val="center"/>
            </w:pPr>
            <w:r>
              <w:rPr>
                <w:sz w:val="18"/>
              </w:rPr>
              <w:t>3.31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Pamiparib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DB15024</w:t>
            </w:r>
          </w:p>
        </w:tc>
        <w:tc>
          <w:tcPr>
            <w:tcW w:type="dxa" w:w="1337"/>
            <w:vAlign w:val="center"/>
            <w:shd w:fill="F5F5F5"/>
            <w:tcMar>
              <w:top w:w="60" w:type="dxa"/>
              <w:bottom w:w="60" w:type="dxa"/>
              <w:left w:w="100" w:type="dxa"/>
              <w:right w:w="100" w:type="dxa"/>
            </w:tcMar>
          </w:tcPr>
          <w:p>
            <w:pPr>
              <w:spacing w:before="40" w:after="40"/>
              <w:jc w:val="center"/>
            </w:pPr>
            <w:r>
              <w:rPr>
                <w:sz w:val="18"/>
              </w:rPr>
              <w:t>-7.79</w:t>
            </w:r>
          </w:p>
        </w:tc>
        <w:tc>
          <w:tcPr>
            <w:tcW w:type="dxa" w:w="1337"/>
            <w:vAlign w:val="center"/>
            <w:shd w:fill="F5F5F5"/>
            <w:tcMar>
              <w:top w:w="60" w:type="dxa"/>
              <w:bottom w:w="60" w:type="dxa"/>
              <w:left w:w="100" w:type="dxa"/>
              <w:right w:w="100" w:type="dxa"/>
            </w:tcMar>
          </w:tcPr>
          <w:p>
            <w:pPr>
              <w:spacing w:before="40" w:after="40"/>
              <w:jc w:val="center"/>
            </w:pPr>
            <w:r>
              <w:rPr>
                <w:sz w:val="18"/>
              </w:rPr>
              <w:t>-22.7</w:t>
            </w:r>
          </w:p>
        </w:tc>
        <w:tc>
          <w:tcPr>
            <w:tcW w:type="dxa" w:w="1337"/>
            <w:vAlign w:val="center"/>
            <w:shd w:fill="F5F5F5"/>
            <w:tcMar>
              <w:top w:w="60" w:type="dxa"/>
              <w:bottom w:w="60" w:type="dxa"/>
              <w:left w:w="100" w:type="dxa"/>
              <w:right w:w="100" w:type="dxa"/>
            </w:tcMar>
          </w:tcPr>
          <w:p>
            <w:pPr>
              <w:spacing w:before="40" w:after="40"/>
              <w:jc w:val="center"/>
            </w:pPr>
            <w:r>
              <w:rPr>
                <w:sz w:val="18"/>
              </w:rPr>
              <w:t>2.67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Capivasertib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DB12154</w:t>
            </w:r>
          </w:p>
        </w:tc>
        <w:tc>
          <w:tcPr>
            <w:tcW w:type="dxa" w:w="1337"/>
            <w:vAlign w:val="center"/>
            <w:shd w:fill="FFFFFF"/>
            <w:tcMar>
              <w:top w:w="60" w:type="dxa"/>
              <w:bottom w:w="60" w:type="dxa"/>
              <w:left w:w="100" w:type="dxa"/>
              <w:right w:w="100" w:type="dxa"/>
            </w:tcMar>
          </w:tcPr>
          <w:p>
            <w:pPr>
              <w:spacing w:before="40" w:after="40"/>
              <w:jc w:val="center"/>
            </w:pPr>
            <w:r>
              <w:rPr>
                <w:sz w:val="18"/>
              </w:rPr>
              <w:t>-7.09</w:t>
            </w:r>
          </w:p>
        </w:tc>
        <w:tc>
          <w:tcPr>
            <w:tcW w:type="dxa" w:w="1337"/>
            <w:vAlign w:val="center"/>
            <w:shd w:fill="FFFFFF"/>
            <w:tcMar>
              <w:top w:w="60" w:type="dxa"/>
              <w:bottom w:w="60" w:type="dxa"/>
              <w:left w:w="100" w:type="dxa"/>
              <w:right w:w="100" w:type="dxa"/>
            </w:tcMar>
          </w:tcPr>
          <w:p>
            <w:pPr>
              <w:spacing w:before="40" w:after="40"/>
              <w:jc w:val="center"/>
            </w:pPr>
            <w:r>
              <w:rPr>
                <w:sz w:val="18"/>
              </w:rPr>
              <w:t>-22.4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Cobimetinib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DB09565</w:t>
            </w:r>
          </w:p>
        </w:tc>
        <w:tc>
          <w:tcPr>
            <w:tcW w:type="dxa" w:w="1337"/>
            <w:vAlign w:val="center"/>
            <w:shd w:fill="F5F5F5"/>
            <w:tcMar>
              <w:top w:w="60" w:type="dxa"/>
              <w:bottom w:w="60" w:type="dxa"/>
              <w:left w:w="100" w:type="dxa"/>
              <w:right w:w="100" w:type="dxa"/>
            </w:tcMar>
          </w:tcPr>
          <w:p>
            <w:pPr>
              <w:spacing w:before="40" w:after="40"/>
              <w:jc w:val="center"/>
            </w:pPr>
            <w:r>
              <w:rPr>
                <w:sz w:val="18"/>
              </w:rPr>
              <w:t>-8.55</w:t>
            </w:r>
          </w:p>
        </w:tc>
        <w:tc>
          <w:tcPr>
            <w:tcW w:type="dxa" w:w="1337"/>
            <w:vAlign w:val="center"/>
            <w:shd w:fill="F5F5F5"/>
            <w:tcMar>
              <w:top w:w="60" w:type="dxa"/>
              <w:bottom w:w="60" w:type="dxa"/>
              <w:left w:w="100" w:type="dxa"/>
              <w:right w:w="100" w:type="dxa"/>
            </w:tcMar>
          </w:tcPr>
          <w:p>
            <w:pPr>
              <w:spacing w:before="40" w:after="40"/>
              <w:jc w:val="center"/>
            </w:pPr>
            <w:r>
              <w:rPr>
                <w:sz w:val="18"/>
              </w:rPr>
              <w:t>-21.8</w:t>
            </w:r>
          </w:p>
        </w:tc>
        <w:tc>
          <w:tcPr>
            <w:tcW w:type="dxa" w:w="1337"/>
            <w:vAlign w:val="center"/>
            <w:shd w:fill="F5F5F5"/>
            <w:tcMar>
              <w:top w:w="60" w:type="dxa"/>
              <w:bottom w:w="60" w:type="dxa"/>
              <w:left w:w="100" w:type="dxa"/>
              <w:right w:w="100" w:type="dxa"/>
            </w:tcMar>
          </w:tcPr>
          <w:p>
            <w:pPr>
              <w:spacing w:before="40" w:after="40"/>
              <w:jc w:val="center"/>
            </w:pPr>
            <w:r>
              <w:rPr>
                <w:sz w:val="18"/>
              </w:rPr>
              <w:t>2.96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Exatecan</w:t>
            </w:r>
          </w:p>
        </w:tc>
        <w:tc>
          <w:tcPr>
            <w:tcW w:type="dxa" w:w="1337"/>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FFFFF"/>
            <w:tcMar>
              <w:top w:w="60" w:type="dxa"/>
              <w:bottom w:w="60" w:type="dxa"/>
              <w:left w:w="100" w:type="dxa"/>
              <w:right w:w="100" w:type="dxa"/>
            </w:tcMar>
          </w:tcPr>
          <w:p>
            <w:pPr>
              <w:spacing w:before="40" w:after="40"/>
              <w:jc w:val="left"/>
            </w:pPr>
            <w:r>
              <w:rPr>
                <w:sz w:val="18"/>
              </w:rPr>
              <w:t>DB12702</w:t>
            </w:r>
          </w:p>
        </w:tc>
        <w:tc>
          <w:tcPr>
            <w:tcW w:type="dxa" w:w="1337"/>
            <w:vAlign w:val="center"/>
            <w:shd w:fill="FFFFFF"/>
            <w:tcMar>
              <w:top w:w="60" w:type="dxa"/>
              <w:bottom w:w="60" w:type="dxa"/>
              <w:left w:w="100" w:type="dxa"/>
              <w:right w:w="100" w:type="dxa"/>
            </w:tcMar>
          </w:tcPr>
          <w:p>
            <w:pPr>
              <w:spacing w:before="40" w:after="40"/>
              <w:jc w:val="center"/>
            </w:pPr>
            <w:r>
              <w:rPr>
                <w:sz w:val="18"/>
              </w:rPr>
              <w:t>-7.99</w:t>
            </w:r>
          </w:p>
        </w:tc>
        <w:tc>
          <w:tcPr>
            <w:tcW w:type="dxa" w:w="1337"/>
            <w:vAlign w:val="center"/>
            <w:shd w:fill="FFFFFF"/>
            <w:tcMar>
              <w:top w:w="60" w:type="dxa"/>
              <w:bottom w:w="60" w:type="dxa"/>
              <w:left w:w="100" w:type="dxa"/>
              <w:right w:w="100" w:type="dxa"/>
            </w:tcMar>
          </w:tcPr>
          <w:p>
            <w:pPr>
              <w:spacing w:before="40" w:after="40"/>
              <w:jc w:val="center"/>
            </w:pPr>
            <w:r>
              <w:rPr>
                <w:sz w:val="18"/>
              </w:rPr>
              <w:t>-21.1</w:t>
            </w:r>
          </w:p>
        </w:tc>
        <w:tc>
          <w:tcPr>
            <w:tcW w:type="dxa" w:w="1337"/>
            <w:vAlign w:val="center"/>
            <w:shd w:fill="FFFFFF"/>
            <w:tcMar>
              <w:top w:w="60" w:type="dxa"/>
              <w:bottom w:w="60" w:type="dxa"/>
              <w:left w:w="100" w:type="dxa"/>
              <w:right w:w="100" w:type="dxa"/>
            </w:tcMar>
          </w:tcPr>
          <w:p>
            <w:pPr>
              <w:spacing w:before="40" w:after="40"/>
              <w:jc w:val="center"/>
            </w:pPr>
            <w:r>
              <w:rPr>
                <w:sz w:val="18"/>
              </w:rPr>
              <w:t>2.96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Docetaxel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DB01248</w:t>
            </w:r>
          </w:p>
        </w:tc>
        <w:tc>
          <w:tcPr>
            <w:tcW w:type="dxa" w:w="1337"/>
            <w:vAlign w:val="center"/>
            <w:shd w:fill="F5F5F5"/>
            <w:tcMar>
              <w:top w:w="60" w:type="dxa"/>
              <w:bottom w:w="60" w:type="dxa"/>
              <w:left w:w="100" w:type="dxa"/>
              <w:right w:w="100" w:type="dxa"/>
            </w:tcMar>
          </w:tcPr>
          <w:p>
            <w:pPr>
              <w:spacing w:before="40" w:after="40"/>
              <w:jc w:val="center"/>
            </w:pPr>
            <w:r>
              <w:rPr>
                <w:sz w:val="18"/>
              </w:rPr>
              <w:t>-7.54</w:t>
            </w:r>
          </w:p>
        </w:tc>
        <w:tc>
          <w:tcPr>
            <w:tcW w:type="dxa" w:w="1337"/>
            <w:vAlign w:val="center"/>
            <w:shd w:fill="F5F5F5"/>
            <w:tcMar>
              <w:top w:w="60" w:type="dxa"/>
              <w:bottom w:w="60" w:type="dxa"/>
              <w:left w:w="100" w:type="dxa"/>
              <w:right w:w="100" w:type="dxa"/>
            </w:tcMar>
          </w:tcPr>
          <w:p>
            <w:pPr>
              <w:spacing w:before="40" w:after="40"/>
              <w:jc w:val="center"/>
            </w:pPr>
            <w:r>
              <w:rPr>
                <w:sz w:val="18"/>
              </w:rPr>
              <w:t>-20.2</w:t>
            </w:r>
          </w:p>
        </w:tc>
        <w:tc>
          <w:tcPr>
            <w:tcW w:type="dxa" w:w="1337"/>
            <w:vAlign w:val="center"/>
            <w:shd w:fill="F5F5F5"/>
            <w:tcMar>
              <w:top w:w="60" w:type="dxa"/>
              <w:bottom w:w="60" w:type="dxa"/>
              <w:left w:w="100" w:type="dxa"/>
              <w:right w:w="100" w:type="dxa"/>
            </w:tcMar>
          </w:tcPr>
          <w:p>
            <w:pPr>
              <w:spacing w:before="40" w:after="40"/>
              <w:jc w:val="center"/>
            </w:pPr>
            <w:r>
              <w:rPr>
                <w:sz w:val="18"/>
              </w:rPr>
              <w:t>2.81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Veliparib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DB11927</w:t>
            </w:r>
          </w:p>
        </w:tc>
        <w:tc>
          <w:tcPr>
            <w:tcW w:type="dxa" w:w="1337"/>
            <w:vAlign w:val="center"/>
            <w:shd w:fill="FFFFFF"/>
            <w:tcMar>
              <w:top w:w="60" w:type="dxa"/>
              <w:bottom w:w="60" w:type="dxa"/>
              <w:left w:w="100" w:type="dxa"/>
              <w:right w:w="100" w:type="dxa"/>
            </w:tcMar>
          </w:tcPr>
          <w:p>
            <w:pPr>
              <w:spacing w:before="40" w:after="40"/>
              <w:jc w:val="center"/>
            </w:pPr>
            <w:r>
              <w:rPr>
                <w:sz w:val="18"/>
              </w:rPr>
              <w:t>-6.37</w:t>
            </w:r>
          </w:p>
        </w:tc>
        <w:tc>
          <w:tcPr>
            <w:tcW w:type="dxa" w:w="1337"/>
            <w:vAlign w:val="center"/>
            <w:shd w:fill="FFFFFF"/>
            <w:tcMar>
              <w:top w:w="60" w:type="dxa"/>
              <w:bottom w:w="60" w:type="dxa"/>
              <w:left w:w="100" w:type="dxa"/>
              <w:right w:w="100" w:type="dxa"/>
            </w:tcMar>
          </w:tcPr>
          <w:p>
            <w:pPr>
              <w:spacing w:before="40" w:after="40"/>
              <w:jc w:val="center"/>
            </w:pPr>
            <w:r>
              <w:rPr>
                <w:sz w:val="18"/>
              </w:rPr>
              <w:t>-18.4</w:t>
            </w:r>
          </w:p>
        </w:tc>
        <w:tc>
          <w:tcPr>
            <w:tcW w:type="dxa" w:w="1337"/>
            <w:vAlign w:val="center"/>
            <w:shd w:fill="FFFFFF"/>
            <w:tcMar>
              <w:top w:w="60" w:type="dxa"/>
              <w:bottom w:w="60" w:type="dxa"/>
              <w:left w:w="100" w:type="dxa"/>
              <w:right w:w="100" w:type="dxa"/>
            </w:tcMar>
          </w:tcPr>
          <w:p>
            <w:pPr>
              <w:spacing w:before="40" w:after="40"/>
              <w:jc w:val="center"/>
            </w:pPr>
            <w:r>
              <w:rPr>
                <w:sz w:val="18"/>
              </w:rPr>
              <w:t>2.90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Everolimus</w:t>
            </w:r>
          </w:p>
        </w:tc>
        <w:tc>
          <w:tcPr>
            <w:tcW w:type="dxa" w:w="1337"/>
            <w:vAlign w:val="center"/>
            <w:shd w:fill="F5F5F5"/>
            <w:tcMar>
              <w:top w:w="60" w:type="dxa"/>
              <w:bottom w:w="60" w:type="dxa"/>
              <w:left w:w="100" w:type="dxa"/>
              <w:right w:w="100" w:type="dxa"/>
            </w:tcMar>
          </w:tcPr>
          <w:p>
            <w:pPr>
              <w:spacing w:before="40" w:after="40"/>
              <w:jc w:val="left"/>
            </w:pPr>
            <w:r>
              <w:rPr>
                <w:sz w:val="18"/>
              </w:rPr>
              <w:t>mTOR Inhibitor</w:t>
            </w:r>
          </w:p>
        </w:tc>
        <w:tc>
          <w:tcPr>
            <w:tcW w:type="dxa" w:w="1337"/>
            <w:vAlign w:val="center"/>
            <w:shd w:fill="F5F5F5"/>
            <w:tcMar>
              <w:top w:w="60" w:type="dxa"/>
              <w:bottom w:w="60" w:type="dxa"/>
              <w:left w:w="100" w:type="dxa"/>
              <w:right w:w="100" w:type="dxa"/>
            </w:tcMar>
          </w:tcPr>
          <w:p>
            <w:pPr>
              <w:spacing w:before="40" w:after="40"/>
              <w:jc w:val="left"/>
            </w:pPr>
            <w:r>
              <w:rPr>
                <w:sz w:val="18"/>
              </w:rPr>
              <w:t>DB01590</w:t>
            </w:r>
          </w:p>
        </w:tc>
        <w:tc>
          <w:tcPr>
            <w:tcW w:type="dxa" w:w="1337"/>
            <w:vAlign w:val="center"/>
            <w:shd w:fill="F5F5F5"/>
            <w:tcMar>
              <w:top w:w="60" w:type="dxa"/>
              <w:bottom w:w="60" w:type="dxa"/>
              <w:left w:w="100" w:type="dxa"/>
              <w:right w:w="100" w:type="dxa"/>
            </w:tcMar>
          </w:tcPr>
          <w:p>
            <w:pPr>
              <w:spacing w:before="40" w:after="40"/>
              <w:jc w:val="center"/>
            </w:pPr>
            <w:r>
              <w:rPr>
                <w:sz w:val="18"/>
              </w:rPr>
              <w:t>-4.48</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3.08</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Olaparib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DB00946</w:t>
            </w:r>
          </w:p>
        </w:tc>
        <w:tc>
          <w:tcPr>
            <w:tcW w:type="dxa" w:w="1337"/>
            <w:vAlign w:val="center"/>
            <w:shd w:fill="FFFFFF"/>
            <w:tcMar>
              <w:top w:w="60" w:type="dxa"/>
              <w:bottom w:w="60" w:type="dxa"/>
              <w:left w:w="100" w:type="dxa"/>
              <w:right w:w="100" w:type="dxa"/>
            </w:tcMar>
          </w:tcPr>
          <w:p>
            <w:pPr>
              <w:spacing w:before="40" w:after="40"/>
              <w:jc w:val="center"/>
            </w:pPr>
            <w:r>
              <w:rPr>
                <w:sz w:val="18"/>
              </w:rPr>
              <w:t>-8.73</w:t>
            </w:r>
          </w:p>
        </w:tc>
        <w:tc>
          <w:tcPr>
            <w:tcW w:type="dxa" w:w="1337"/>
            <w:vAlign w:val="center"/>
            <w:shd w:fill="FFFFFF"/>
            <w:tcMar>
              <w:top w:w="60" w:type="dxa"/>
              <w:bottom w:w="60" w:type="dxa"/>
              <w:left w:w="100" w:type="dxa"/>
              <w:right w:w="100" w:type="dxa"/>
            </w:tcMar>
          </w:tcPr>
          <w:p>
            <w:pPr>
              <w:spacing w:before="40" w:after="40"/>
              <w:jc w:val="center"/>
            </w:pPr>
            <w:r>
              <w:rPr>
                <w:sz w:val="18"/>
              </w:rPr>
              <w:t>-17.1</w:t>
            </w:r>
          </w:p>
        </w:tc>
        <w:tc>
          <w:tcPr>
            <w:tcW w:type="dxa" w:w="1337"/>
            <w:vAlign w:val="center"/>
            <w:shd w:fill="FFFFFF"/>
            <w:tcMar>
              <w:top w:w="60" w:type="dxa"/>
              <w:bottom w:w="60" w:type="dxa"/>
              <w:left w:w="100" w:type="dxa"/>
              <w:right w:w="100" w:type="dxa"/>
            </w:tcMar>
          </w:tcPr>
          <w:p>
            <w:pPr>
              <w:spacing w:before="40" w:after="40"/>
              <w:jc w:val="center"/>
            </w:pPr>
            <w:r>
              <w:rPr>
                <w:sz w:val="18"/>
              </w:rPr>
              <w:t>3.13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Selumetinib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DB11928</w:t>
            </w:r>
          </w:p>
        </w:tc>
        <w:tc>
          <w:tcPr>
            <w:tcW w:type="dxa" w:w="1337"/>
            <w:vAlign w:val="center"/>
            <w:shd w:fill="F5F5F5"/>
            <w:tcMar>
              <w:top w:w="60" w:type="dxa"/>
              <w:bottom w:w="60" w:type="dxa"/>
              <w:left w:w="100" w:type="dxa"/>
              <w:right w:w="100" w:type="dxa"/>
            </w:tcMar>
          </w:tcPr>
          <w:p>
            <w:pPr>
              <w:spacing w:before="40" w:after="40"/>
              <w:jc w:val="center"/>
            </w:pPr>
            <w:r>
              <w:rPr>
                <w:sz w:val="18"/>
              </w:rPr>
              <w:t>-5.94</w:t>
            </w:r>
          </w:p>
        </w:tc>
        <w:tc>
          <w:tcPr>
            <w:tcW w:type="dxa" w:w="1337"/>
            <w:vAlign w:val="center"/>
            <w:shd w:fill="F5F5F5"/>
            <w:tcMar>
              <w:top w:w="60" w:type="dxa"/>
              <w:bottom w:w="60" w:type="dxa"/>
              <w:left w:w="100" w:type="dxa"/>
              <w:right w:w="100" w:type="dxa"/>
            </w:tcMar>
          </w:tcPr>
          <w:p>
            <w:pPr>
              <w:spacing w:before="40" w:after="40"/>
              <w:jc w:val="center"/>
            </w:pPr>
            <w:r>
              <w:rPr>
                <w:sz w:val="18"/>
              </w:rPr>
              <w:t>-15.7</w:t>
            </w:r>
          </w:p>
        </w:tc>
        <w:tc>
          <w:tcPr>
            <w:tcW w:type="dxa" w:w="1337"/>
            <w:vAlign w:val="center"/>
            <w:shd w:fill="F5F5F5"/>
            <w:tcMar>
              <w:top w:w="60" w:type="dxa"/>
              <w:bottom w:w="60" w:type="dxa"/>
              <w:left w:w="100" w:type="dxa"/>
              <w:right w:w="100" w:type="dxa"/>
            </w:tcMar>
          </w:tcPr>
          <w:p>
            <w:pPr>
              <w:spacing w:before="40" w:after="40"/>
              <w:jc w:val="center"/>
            </w:pPr>
            <w:r>
              <w:rPr>
                <w:sz w:val="18"/>
              </w:rPr>
              <w:t>2.91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Niraparib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DB12340</w:t>
            </w:r>
          </w:p>
        </w:tc>
        <w:tc>
          <w:tcPr>
            <w:tcW w:type="dxa" w:w="1337"/>
            <w:vAlign w:val="center"/>
            <w:shd w:fill="FFFFFF"/>
            <w:tcMar>
              <w:top w:w="60" w:type="dxa"/>
              <w:bottom w:w="60" w:type="dxa"/>
              <w:left w:w="100" w:type="dxa"/>
              <w:right w:w="100" w:type="dxa"/>
            </w:tcMar>
          </w:tcPr>
          <w:p>
            <w:pPr>
              <w:spacing w:before="40" w:after="40"/>
              <w:jc w:val="center"/>
            </w:pPr>
            <w:r>
              <w:rPr>
                <w:sz w:val="18"/>
              </w:rPr>
              <w:t>-7.56</w:t>
            </w:r>
          </w:p>
        </w:tc>
        <w:tc>
          <w:tcPr>
            <w:tcW w:type="dxa" w:w="1337"/>
            <w:vAlign w:val="center"/>
            <w:shd w:fill="FFFFFF"/>
            <w:tcMar>
              <w:top w:w="60" w:type="dxa"/>
              <w:bottom w:w="60" w:type="dxa"/>
              <w:left w:w="100" w:type="dxa"/>
              <w:right w:w="100" w:type="dxa"/>
            </w:tcMar>
          </w:tcPr>
          <w:p>
            <w:pPr>
              <w:spacing w:before="40" w:after="40"/>
              <w:jc w:val="center"/>
            </w:pPr>
            <w:r>
              <w:rPr>
                <w:sz w:val="18"/>
              </w:rPr>
              <w:t>-12.1</w:t>
            </w:r>
          </w:p>
        </w:tc>
        <w:tc>
          <w:tcPr>
            <w:tcW w:type="dxa" w:w="1337"/>
            <w:vAlign w:val="center"/>
            <w:shd w:fill="FFFFFF"/>
            <w:tcMar>
              <w:top w:w="60" w:type="dxa"/>
              <w:bottom w:w="60" w:type="dxa"/>
              <w:left w:w="100" w:type="dxa"/>
              <w:right w:w="100" w:type="dxa"/>
            </w:tcMar>
          </w:tcPr>
          <w:p>
            <w:pPr>
              <w:spacing w:before="40" w:after="40"/>
              <w:jc w:val="center"/>
            </w:pPr>
            <w:r>
              <w:rPr>
                <w:sz w:val="18"/>
              </w:rPr>
              <w:t>3.46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Etoposide</w:t>
            </w:r>
          </w:p>
        </w:tc>
        <w:tc>
          <w:tcPr>
            <w:tcW w:type="dxa" w:w="1337"/>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337"/>
            <w:vAlign w:val="center"/>
            <w:shd w:fill="F5F5F5"/>
            <w:tcMar>
              <w:top w:w="60" w:type="dxa"/>
              <w:bottom w:w="60" w:type="dxa"/>
              <w:left w:w="100" w:type="dxa"/>
              <w:right w:w="100" w:type="dxa"/>
            </w:tcMar>
          </w:tcPr>
          <w:p>
            <w:pPr>
              <w:spacing w:before="40" w:after="40"/>
              <w:jc w:val="left"/>
            </w:pPr>
            <w:r>
              <w:rPr>
                <w:sz w:val="18"/>
              </w:rPr>
              <w:t>DB00773</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-7.8</w:t>
            </w:r>
          </w:p>
        </w:tc>
        <w:tc>
          <w:tcPr>
            <w:tcW w:type="dxa" w:w="1337"/>
            <w:vAlign w:val="center"/>
            <w:shd w:fill="F5F5F5"/>
            <w:tcMar>
              <w:top w:w="60" w:type="dxa"/>
              <w:bottom w:w="60" w:type="dxa"/>
              <w:left w:w="100" w:type="dxa"/>
              <w:right w:w="100" w:type="dxa"/>
            </w:tcMar>
          </w:tcPr>
          <w:p>
            <w:pPr>
              <w:spacing w:before="40" w:after="40"/>
              <w:jc w:val="center"/>
            </w:pPr>
            <w:r>
              <w:rPr>
                <w:sz w:val="18"/>
              </w:rPr>
              <w:t>3.15</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Paclitaxel</w:t>
            </w:r>
          </w:p>
        </w:tc>
        <w:tc>
          <w:tcPr>
            <w:tcW w:type="dxa" w:w="1337"/>
            <w:vAlign w:val="center"/>
            <w:shd w:fill="FFFFFF"/>
            <w:tcMar>
              <w:top w:w="60" w:type="dxa"/>
              <w:bottom w:w="60" w:type="dxa"/>
              <w:left w:w="100" w:type="dxa"/>
              <w:right w:w="100" w:type="dxa"/>
            </w:tcMar>
          </w:tcPr>
          <w:p>
            <w:pPr>
              <w:spacing w:before="40" w:after="40"/>
              <w:jc w:val="left"/>
            </w:pPr>
            <w:r>
              <w:rPr>
                <w:sz w:val="18"/>
              </w:rPr>
              <w:t>Taxane</w:t>
            </w:r>
          </w:p>
        </w:tc>
        <w:tc>
          <w:tcPr>
            <w:tcW w:type="dxa" w:w="1337"/>
            <w:vAlign w:val="center"/>
            <w:shd w:fill="FFFFFF"/>
            <w:tcMar>
              <w:top w:w="60" w:type="dxa"/>
              <w:bottom w:w="60" w:type="dxa"/>
              <w:left w:w="100" w:type="dxa"/>
              <w:right w:w="100" w:type="dxa"/>
            </w:tcMar>
          </w:tcPr>
          <w:p>
            <w:pPr>
              <w:spacing w:before="40" w:after="40"/>
              <w:jc w:val="left"/>
            </w:pPr>
            <w:r>
              <w:rPr>
                <w:sz w:val="18"/>
              </w:rPr>
              <w:t>DB01204</w:t>
            </w:r>
          </w:p>
        </w:tc>
        <w:tc>
          <w:tcPr>
            <w:tcW w:type="dxa" w:w="1337"/>
            <w:vAlign w:val="center"/>
            <w:shd w:fill="FFFFFF"/>
            <w:tcMar>
              <w:top w:w="60" w:type="dxa"/>
              <w:bottom w:w="60" w:type="dxa"/>
              <w:left w:w="100" w:type="dxa"/>
              <w:right w:w="100" w:type="dxa"/>
            </w:tcMar>
          </w:tcPr>
          <w:p>
            <w:pPr>
              <w:spacing w:before="40" w:after="40"/>
              <w:jc w:val="center"/>
            </w:pPr>
            <w:r>
              <w:rPr>
                <w:sz w:val="18"/>
              </w:rPr>
              <w:t>-6.32</w:t>
            </w:r>
          </w:p>
        </w:tc>
        <w:tc>
          <w:tcPr>
            <w:tcW w:type="dxa" w:w="1337"/>
            <w:vAlign w:val="center"/>
            <w:shd w:fill="FFFFFF"/>
            <w:tcMar>
              <w:top w:w="60" w:type="dxa"/>
              <w:bottom w:w="60" w:type="dxa"/>
              <w:left w:w="100" w:type="dxa"/>
              <w:right w:w="100" w:type="dxa"/>
            </w:tcMar>
          </w:tcPr>
          <w:p>
            <w:pPr>
              <w:spacing w:before="40" w:after="40"/>
              <w:jc w:val="center"/>
            </w:pPr>
            <w:r>
              <w:rPr>
                <w:sz w:val="18"/>
              </w:rPr>
              <w:t>-7.7</w:t>
            </w:r>
          </w:p>
        </w:tc>
        <w:tc>
          <w:tcPr>
            <w:tcW w:type="dxa" w:w="1337"/>
            <w:vAlign w:val="center"/>
            <w:shd w:fill="FFFFFF"/>
            <w:tcMar>
              <w:top w:w="60" w:type="dxa"/>
              <w:bottom w:w="60" w:type="dxa"/>
              <w:left w:w="100" w:type="dxa"/>
              <w:right w:w="100" w:type="dxa"/>
            </w:tcMar>
          </w:tcPr>
          <w:p>
            <w:pPr>
              <w:spacing w:before="40" w:after="40"/>
              <w:jc w:val="center"/>
            </w:pPr>
            <w:r>
              <w:rPr>
                <w:sz w:val="18"/>
              </w:rPr>
              <w:t>3.35</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Osimertinib</w:t>
            </w:r>
          </w:p>
        </w:tc>
        <w:tc>
          <w:tcPr>
            <w:tcW w:type="dxa" w:w="1337"/>
            <w:vAlign w:val="center"/>
            <w:shd w:fill="F5F5F5"/>
            <w:tcMar>
              <w:top w:w="60" w:type="dxa"/>
              <w:bottom w:w="60" w:type="dxa"/>
              <w:left w:w="100" w:type="dxa"/>
              <w:right w:w="100" w:type="dxa"/>
            </w:tcMar>
          </w:tcPr>
          <w:p>
            <w:pPr>
              <w:spacing w:before="40" w:after="40"/>
              <w:jc w:val="left"/>
            </w:pPr>
            <w:r>
              <w:rPr>
                <w:sz w:val="18"/>
              </w:rPr>
              <w:t>3rd Gen EGFR TKI</w:t>
            </w:r>
          </w:p>
        </w:tc>
        <w:tc>
          <w:tcPr>
            <w:tcW w:type="dxa" w:w="1337"/>
            <w:vAlign w:val="center"/>
            <w:shd w:fill="F5F5F5"/>
            <w:tcMar>
              <w:top w:w="60" w:type="dxa"/>
              <w:bottom w:w="60" w:type="dxa"/>
              <w:left w:w="100" w:type="dxa"/>
              <w:right w:w="100" w:type="dxa"/>
            </w:tcMar>
          </w:tcPr>
          <w:p>
            <w:pPr>
              <w:spacing w:before="40" w:after="40"/>
              <w:jc w:val="left"/>
            </w:pPr>
            <w:r>
              <w:rPr>
                <w:sz w:val="18"/>
              </w:rPr>
              <w:t>DB09330</w:t>
            </w:r>
          </w:p>
        </w:tc>
        <w:tc>
          <w:tcPr>
            <w:tcW w:type="dxa" w:w="1337"/>
            <w:vAlign w:val="center"/>
            <w:shd w:fill="F5F5F5"/>
            <w:tcMar>
              <w:top w:w="60" w:type="dxa"/>
              <w:bottom w:w="60" w:type="dxa"/>
              <w:left w:w="100" w:type="dxa"/>
              <w:right w:w="100" w:type="dxa"/>
            </w:tcMar>
          </w:tcPr>
          <w:p>
            <w:pPr>
              <w:spacing w:before="40" w:after="40"/>
              <w:jc w:val="center"/>
            </w:pPr>
            <w:r>
              <w:rPr>
                <w:sz w:val="18"/>
              </w:rPr>
              <w:t>-7.31</w:t>
            </w:r>
          </w:p>
        </w:tc>
        <w:tc>
          <w:tcPr>
            <w:tcW w:type="dxa" w:w="1337"/>
            <w:vAlign w:val="center"/>
            <w:shd w:fill="F5F5F5"/>
            <w:tcMar>
              <w:top w:w="60" w:type="dxa"/>
              <w:bottom w:w="60" w:type="dxa"/>
              <w:left w:w="100" w:type="dxa"/>
              <w:right w:w="100" w:type="dxa"/>
            </w:tcMar>
          </w:tcPr>
          <w:p>
            <w:pPr>
              <w:spacing w:before="40" w:after="40"/>
              <w:jc w:val="center"/>
            </w:pPr>
            <w:r>
              <w:rPr>
                <w:sz w:val="18"/>
              </w:rPr>
              <w:t>-6.4</w:t>
            </w:r>
          </w:p>
        </w:tc>
        <w:tc>
          <w:tcPr>
            <w:tcW w:type="dxa" w:w="1337"/>
            <w:vAlign w:val="center"/>
            <w:shd w:fill="F5F5F5"/>
            <w:tcMar>
              <w:top w:w="60" w:type="dxa"/>
              <w:bottom w:w="60" w:type="dxa"/>
              <w:left w:w="100" w:type="dxa"/>
              <w:right w:w="100" w:type="dxa"/>
            </w:tcMar>
          </w:tcPr>
          <w:p>
            <w:pPr>
              <w:spacing w:before="40" w:after="40"/>
              <w:jc w:val="center"/>
            </w:pPr>
            <w:r>
              <w:rPr>
                <w:sz w:val="18"/>
              </w:rPr>
              <w:t>3.17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Ribociclib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DB11730</w:t>
            </w:r>
          </w:p>
        </w:tc>
        <w:tc>
          <w:tcPr>
            <w:tcW w:type="dxa" w:w="1337"/>
            <w:vAlign w:val="center"/>
            <w:shd w:fill="FFFFFF"/>
            <w:tcMar>
              <w:top w:w="60" w:type="dxa"/>
              <w:bottom w:w="60" w:type="dxa"/>
              <w:left w:w="100" w:type="dxa"/>
              <w:right w:w="100" w:type="dxa"/>
            </w:tcMar>
          </w:tcPr>
          <w:p>
            <w:pPr>
              <w:spacing w:before="40" w:after="40"/>
              <w:jc w:val="center"/>
            </w:pPr>
            <w:r>
              <w:rPr>
                <w:sz w:val="18"/>
              </w:rPr>
              <w:t>-7.95</w:t>
            </w:r>
          </w:p>
        </w:tc>
        <w:tc>
          <w:tcPr>
            <w:tcW w:type="dxa" w:w="1337"/>
            <w:vAlign w:val="center"/>
            <w:shd w:fill="FFFFFF"/>
            <w:tcMar>
              <w:top w:w="60" w:type="dxa"/>
              <w:bottom w:w="60" w:type="dxa"/>
              <w:left w:w="100" w:type="dxa"/>
              <w:right w:w="100" w:type="dxa"/>
            </w:tcMar>
          </w:tcPr>
          <w:p>
            <w:pPr>
              <w:spacing w:before="40" w:after="40"/>
              <w:jc w:val="center"/>
            </w:pPr>
            <w:r>
              <w:rPr>
                <w:sz w:val="18"/>
              </w:rPr>
              <w:t>-6.3</w:t>
            </w:r>
          </w:p>
        </w:tc>
        <w:tc>
          <w:tcPr>
            <w:tcW w:type="dxa" w:w="1337"/>
            <w:vAlign w:val="center"/>
            <w:shd w:fill="FFFFFF"/>
            <w:tcMar>
              <w:top w:w="60" w:type="dxa"/>
              <w:bottom w:w="60" w:type="dxa"/>
              <w:left w:w="100" w:type="dxa"/>
              <w:right w:w="100" w:type="dxa"/>
            </w:tcMar>
          </w:tcPr>
          <w:p>
            <w:pPr>
              <w:spacing w:before="40" w:after="40"/>
              <w:jc w:val="center"/>
            </w:pPr>
            <w:r>
              <w:rPr>
                <w:sz w:val="18"/>
              </w:rPr>
              <w:t>3.40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bl>
    <w:p>
      <w:pPr>
        <w:spacing w:after="240"/>
      </w:pPr>
    </w:p>
    <w:p>
      <w:pPr>
        <w:jc w:val="center"/>
      </w:pPr>
    </w:p>
    <w:p>
      <w:r>
        <w:drawing>
          <wp:inline xmlns:a="http://schemas.openxmlformats.org/drawingml/2006/main" xmlns:pic="http://schemas.openxmlformats.org/drawingml/2006/picture">
            <wp:extent cx="5669280" cy="232566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566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30 docked drugs are Glu688, Arg865, Thr866, Lys684, Thr867, Ser681, His909 and Ser911 (contact distance &lt;= 3.8 A).</w:t>
      </w:r>
    </w:p>
    <w:p>
      <w:pPr>
        <w:pStyle w:val="Heading2"/>
        <w:keepNext/>
        <w:spacing w:before="280" w:after="120"/>
      </w:pPr>
      <w:r>
        <w:rPr>
          <w:rFonts w:ascii="Arial" w:hAnsi="Arial"/>
          <w:b/>
          <w:color w:val="1565C0"/>
          <w:sz w:val="24"/>
        </w:rPr>
        <w:t>3.3 3D Quantum Geometries and Intermolecular Interactions</w:t>
      </w:r>
    </w:p>
    <w:p>
      <w:r>
        <w:t>After full GFN2-xTB relaxation, the 30 modelled drug/B36N36 complexes fall into two regimes (Figure 5, Figure 11). Twenty-five drugs PHYSISORB - they sit 2.2-3.5 Angstrom from the cage with Delta_E_int,SP = -6 to -31 kcal/mol (Olaparib -17.1, Talazoparib -24.1) - and five CHEMISORB: SN-38 (-186), epirubicin (-54), topotecan (-51), lapatinib (-49) and rucaparib (-43), each forming a covalent B-O or B-N bond (closest contact 1.37-1.72 Angstrom) through an accessible phenol, hydroxyl, lactam or indole nucleophile adding across an electron-deficient boron of the cage. The old draft's near-zero interaction energies (-0.38 to -4.8 kcal/mol) were single points on unrelaxed geometries and are superseded. Figure 5 shows the optimised carrier (a) and the relaxed Olaparib (b) and Talazoparib (c) physisorption complexes. Pristine B36N36 is therefore not a purely physisorptive scaffold for the polyfunctional camptothecin / anthracycline chemotype; a passivated or carboxylated cage that tempers the boron Lewis acidity is discussed only as future work (no real data here).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physisorption complex (ΔE_int,SP = -17.1 kcal/mol, closest contact 3.1 Angstrom); (c) the relaxed Talazoparib + B36N36 physisorption complex (ΔE_int,SP = -24.1 kcal/mol). Boron in pink, nitrogen in blue, carbon in grey. A carboxylated B36N36-COOH cage was not modelled (future work).</w:t>
      </w:r>
    </w:p>
    <w:p>
      <w:pPr>
        <w:pStyle w:val="Heading2"/>
        <w:keepNext/>
        <w:spacing w:before="280" w:after="120"/>
      </w:pPr>
      <w:r>
        <w:rPr>
          <w:rFonts w:ascii="Arial" w:hAnsi="Arial"/>
          <w:b/>
          <w:color w:val="1565C0"/>
          <w:sz w:val="24"/>
        </w:rPr>
        <w:t>3.4 Statistical Docking Distributions and Residue Interactions</w:t>
      </w:r>
    </w:p>
    <w:p>
      <w:r>
        <w:t>Residue contact analysis across the 30 docked drugs (Figure 4) identifies Glu688, Arg865, Thr866, Lys684, Thr867 and Ser681 as the most frequently engaged residues within 3.8 Å. The PARP1 Vina score and the real GFN2-xTB B36N36 physisorption interaction energy are only weakly correlated across the 25 physisorbers (Figure 6), i.e. strong target binders are not systematically the strongest-adsorbing on the cage.</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30 docked drugs.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from the single reproducible AutoDock Vina run on PARP1 4UND (n = 30): (a) score distribution; (b) top-ranked therapeutics by score; (c) Vina score vs. real GFN2-xTB pristine-B36N36 physisorption interaction energy across the 25 physisorbers (weak correlation).</w:t>
      </w:r>
    </w:p>
    <w:p>
      <w:pPr>
        <w:pStyle w:val="Heading2"/>
        <w:keepNext/>
        <w:spacing w:before="280" w:after="120"/>
      </w:pPr>
      <w:r>
        <w:rPr>
          <w:rFonts w:ascii="Arial" w:hAnsi="Arial"/>
          <w:b/>
          <w:color w:val="1565C0"/>
          <w:sz w:val="24"/>
        </w:rPr>
        <w:t>3.5 Machine Learning Benchmarking and Explainable AI (SHAP)</w:t>
      </w:r>
    </w:p>
    <w:p>
      <w:r>
        <w:t>Table 2 summarizes the RidgeCV surrogate (four pre-specified descriptors: MolWt, MolMR, E_HOMO, omega), both endpoints on the single 30/33-compound master table, evaluated by leak-free nested 5x5 cross-validation (StandardScaler fit on outer-training folds only; alpha by inner RidgeCV), reported as out-of-fold predictions. The model is non-predictive: Q2_CV = -0.33 for the PARP1 Vina docking score (n = 30) and Q2_CV = 0.00 for the 25-point physisorption interaction energy. The chemisorbers are excluded from the physisorption QSPR because covalent bond strength and dispersion are different physics. Descriptor-based prediction of either quantity on this small, chemically narrow cohort therefore fails; the model-free chemisorption/physisorption outcome (Figure 11) is the robust result. The exploratory ExtraTrees ranking indicates molecular weight and molar refractivity as leading descriptors and is reported qualitatively only.</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50" w:type="dxa"/>
              <w:bottom w:w="50" w:type="dxa"/>
              <w:left w:w="80" w:type="dxa"/>
              <w:right w:w="80" w:type="dxa"/>
            </w:tcMar>
          </w:tcPr>
          <w:p>
            <w:pPr>
              <w:spacing w:before="40" w:after="40"/>
              <w:jc w:val="left"/>
            </w:pPr>
            <w:r>
              <w:rPr>
                <w:b/>
                <w:color w:val="FFFFFF"/>
                <w:sz w:val="19"/>
              </w:rPr>
              <w:t>Endpoint</w:t>
            </w:r>
          </w:p>
        </w:tc>
        <w:tc>
          <w:tcPr>
            <w:tcW w:type="dxa" w:w="1872"/>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872"/>
            <w:vAlign w:val="center"/>
            <w:shd w:fill="F5F5F5"/>
            <w:tcMar>
              <w:top w:w="50" w:type="dxa"/>
              <w:bottom w:w="50" w:type="dxa"/>
              <w:left w:w="80" w:type="dxa"/>
              <w:right w:w="80" w:type="dxa"/>
            </w:tcMar>
          </w:tcPr>
          <w:p>
            <w:pPr>
              <w:spacing w:before="40" w:after="40"/>
              <w:jc w:val="left"/>
            </w:pPr>
            <w:r>
              <w:rPr>
                <w:sz w:val="18"/>
              </w:rPr>
              <w:t>PARP1 Vina docking score (4UND)</w:t>
            </w:r>
          </w:p>
        </w:tc>
        <w:tc>
          <w:tcPr>
            <w:tcW w:type="dxa" w:w="1872"/>
            <w:vAlign w:val="center"/>
            <w:shd w:fill="F5F5F5"/>
            <w:tcMar>
              <w:top w:w="50" w:type="dxa"/>
              <w:bottom w:w="50" w:type="dxa"/>
              <w:left w:w="80" w:type="dxa"/>
              <w:right w:w="80" w:type="dxa"/>
            </w:tcMar>
          </w:tcPr>
          <w:p>
            <w:pPr>
              <w:spacing w:before="40" w:after="40"/>
              <w:jc w:val="left"/>
            </w:pPr>
            <w:r>
              <w:rPr>
                <w:sz w:val="18"/>
              </w:rPr>
              <w:t>Ridge (nested 5x5 CV)</w:t>
            </w:r>
          </w:p>
        </w:tc>
        <w:tc>
          <w:tcPr>
            <w:tcW w:type="dxa" w:w="1872"/>
            <w:vAlign w:val="center"/>
            <w:shd w:fill="F5F5F5"/>
            <w:tcMar>
              <w:top w:w="50" w:type="dxa"/>
              <w:bottom w:w="50" w:type="dxa"/>
              <w:left w:w="80" w:type="dxa"/>
              <w:right w:w="80" w:type="dxa"/>
            </w:tcMar>
          </w:tcPr>
          <w:p>
            <w:pPr>
              <w:spacing w:before="40" w:after="40"/>
              <w:jc w:val="center"/>
            </w:pPr>
            <w:r>
              <w:rPr>
                <w:sz w:val="18"/>
              </w:rPr>
              <w:t>30</w:t>
            </w:r>
          </w:p>
        </w:tc>
        <w:tc>
          <w:tcPr>
            <w:tcW w:type="dxa" w:w="1872"/>
            <w:vAlign w:val="center"/>
            <w:shd w:fill="F5F5F5"/>
            <w:tcMar>
              <w:top w:w="50" w:type="dxa"/>
              <w:bottom w:w="50" w:type="dxa"/>
              <w:left w:w="80" w:type="dxa"/>
              <w:right w:w="80" w:type="dxa"/>
            </w:tcMar>
          </w:tcPr>
          <w:p>
            <w:pPr>
              <w:spacing w:before="40" w:after="40"/>
              <w:jc w:val="center"/>
            </w:pPr>
            <w:r>
              <w:rPr>
                <w:sz w:val="18"/>
              </w:rPr>
              <w:t>4</w:t>
            </w:r>
          </w:p>
        </w:tc>
        <w:tc>
          <w:tcPr>
            <w:tcW w:type="dxa" w:w="1872"/>
            <w:vAlign w:val="center"/>
            <w:shd w:fill="F5F5F5"/>
            <w:tcMar>
              <w:top w:w="50" w:type="dxa"/>
              <w:bottom w:w="50" w:type="dxa"/>
              <w:left w:w="80" w:type="dxa"/>
              <w:right w:w="80" w:type="dxa"/>
            </w:tcMar>
          </w:tcPr>
          <w:p>
            <w:pPr>
              <w:spacing w:before="40" w:after="40"/>
              <w:jc w:val="center"/>
            </w:pPr>
            <w:r>
              <w:rPr>
                <w:sz w:val="18"/>
              </w:rPr>
              <w:t>-0.33</w:t>
            </w:r>
          </w:p>
        </w:tc>
      </w:tr>
      <w:tr>
        <w:tc>
          <w:tcPr>
            <w:tcW w:type="dxa" w:w="1872"/>
            <w:vAlign w:val="center"/>
            <w:shd w:fill="FFFFFF"/>
            <w:tcMar>
              <w:top w:w="50" w:type="dxa"/>
              <w:bottom w:w="50" w:type="dxa"/>
              <w:left w:w="80" w:type="dxa"/>
              <w:right w:w="80" w:type="dxa"/>
            </w:tcMar>
          </w:tcPr>
          <w:p>
            <w:pPr>
              <w:spacing w:before="40" w:after="40"/>
              <w:jc w:val="left"/>
            </w:pPr>
            <w:r>
              <w:rPr>
                <w:sz w:val="18"/>
              </w:rPr>
              <w:t>B36N36 physisorption interaction energy</w:t>
            </w:r>
          </w:p>
        </w:tc>
        <w:tc>
          <w:tcPr>
            <w:tcW w:type="dxa" w:w="1872"/>
            <w:vAlign w:val="center"/>
            <w:shd w:fill="FFFFFF"/>
            <w:tcMar>
              <w:top w:w="50" w:type="dxa"/>
              <w:bottom w:w="50" w:type="dxa"/>
              <w:left w:w="80" w:type="dxa"/>
              <w:right w:w="80" w:type="dxa"/>
            </w:tcMar>
          </w:tcPr>
          <w:p>
            <w:pPr>
              <w:spacing w:before="40" w:after="40"/>
              <w:jc w:val="left"/>
            </w:pPr>
            <w:r>
              <w:rPr>
                <w:sz w:val="18"/>
              </w:rPr>
              <w:t>Ridge (nested 5x5 CV)</w:t>
            </w:r>
          </w:p>
        </w:tc>
        <w:tc>
          <w:tcPr>
            <w:tcW w:type="dxa" w:w="1872"/>
            <w:vAlign w:val="center"/>
            <w:shd w:fill="FFFFFF"/>
            <w:tcMar>
              <w:top w:w="50" w:type="dxa"/>
              <w:bottom w:w="50" w:type="dxa"/>
              <w:left w:w="80" w:type="dxa"/>
              <w:right w:w="80" w:type="dxa"/>
            </w:tcMar>
          </w:tcPr>
          <w:p>
            <w:pPr>
              <w:spacing w:before="40" w:after="40"/>
              <w:jc w:val="center"/>
            </w:pPr>
            <w:r>
              <w:rPr>
                <w:sz w:val="18"/>
              </w:rPr>
              <w:t>25</w:t>
            </w:r>
          </w:p>
        </w:tc>
        <w:tc>
          <w:tcPr>
            <w:tcW w:type="dxa" w:w="1872"/>
            <w:vAlign w:val="center"/>
            <w:shd w:fill="FFFFFF"/>
            <w:tcMar>
              <w:top w:w="50" w:type="dxa"/>
              <w:bottom w:w="50" w:type="dxa"/>
              <w:left w:w="80" w:type="dxa"/>
              <w:right w:w="80" w:type="dxa"/>
            </w:tcMar>
          </w:tcPr>
          <w:p>
            <w:pPr>
              <w:spacing w:before="40" w:after="40"/>
              <w:jc w:val="center"/>
            </w:pPr>
            <w:r>
              <w:rPr>
                <w:sz w:val="18"/>
              </w:rPr>
              <w:t>4</w:t>
            </w:r>
          </w:p>
        </w:tc>
        <w:tc>
          <w:tcPr>
            <w:tcW w:type="dxa" w:w="1872"/>
            <w:vAlign w:val="center"/>
            <w:shd w:fill="FFFFFF"/>
            <w:tcMar>
              <w:top w:w="50" w:type="dxa"/>
              <w:bottom w:w="50" w:type="dxa"/>
              <w:left w:w="80" w:type="dxa"/>
              <w:right w:w="80" w:type="dxa"/>
            </w:tcMar>
          </w:tcPr>
          <w:p>
            <w:pPr>
              <w:spacing w:before="40" w:after="40"/>
              <w:jc w:val="center"/>
            </w:pPr>
            <w:r>
              <w:rPr>
                <w:sz w:val="18"/>
              </w:rPr>
              <w:t>0.00</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endpoints (PARP1 Vina docking, n=30; drug + pristine B36N36 physisorption interaction energy, n=25): out-of-fold standardized residuals vs. hat leverage with +/-3sigma boundaries and the h* warning limit.</w:t>
      </w:r>
    </w:p>
    <w:p>
      <w:pPr>
        <w:jc w:val="center"/>
      </w:pPr>
    </w:p>
    <w:p>
      <w:r>
        <w:drawing>
          <wp:inline xmlns:a="http://schemas.openxmlformats.org/drawingml/2006/main" xmlns:pic="http://schemas.openxmlformats.org/drawingml/2006/picture">
            <wp:extent cx="5486400" cy="2449719"/>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49719"/>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PARP1 Vina 4UND docking (n = 30) and (b) drug + pristine B36N36 physisorption interaction energy (n = 25). Both endpoints have near-zero Q2_CV.</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Olaparib is one of the physisorbers (contact 3.1 Angstrom, Delta_E_int,SP = -17.1 kcal/mol): the accumulation (yellow) and depletion (blue) lobes are confined to the drug carbonyl / amide region facing the cage, with the B36N36 framework essentially unperturbed - no new bond, in contrast to the chemisorbers of Figure 11.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417847"/>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417847"/>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physisorption complex. Isovalue +/-0.0008 e bohr^-3; yellow = electron accumulation, blue = electron depletion.</w:t>
      </w:r>
    </w:p>
    <w:p>
      <w:pPr>
        <w:jc w:val="center"/>
      </w:pPr>
    </w:p>
    <w:p>
      <w:r>
        <w:drawing>
          <wp:inline xmlns:a="http://schemas.openxmlformats.org/drawingml/2006/main" xmlns:pic="http://schemas.openxmlformats.org/drawingml/2006/picture">
            <wp:extent cx="5120640" cy="3812746"/>
            <wp:docPr id="10" name="Picture 10"/>
            <wp:cNvGraphicFramePr>
              <a:graphicFrameLocks noChangeAspect="1"/>
            </wp:cNvGraphicFramePr>
            <a:graphic>
              <a:graphicData uri="http://schemas.openxmlformats.org/drawingml/2006/picture">
                <pic:pic>
                  <pic:nvPicPr>
                    <pic:cNvPr id="0" name="fig11_tnbc_adsorption_landscape.png"/>
                    <pic:cNvPicPr/>
                  </pic:nvPicPr>
                  <pic:blipFill>
                    <a:blip r:embed="rId18"/>
                    <a:stretch>
                      <a:fillRect/>
                    </a:stretch>
                  </pic:blipFill>
                  <pic:spPr>
                    <a:xfrm>
                      <a:off x="0" y="0"/>
                      <a:ext cx="5120640" cy="3812746"/>
                    </a:xfrm>
                    <a:prstGeom prst="rect"/>
                  </pic:spPr>
                </pic:pic>
              </a:graphicData>
            </a:graphic>
          </wp:inline>
        </w:drawing>
      </w:r>
    </w:p>
    <w:p>
      <w:pPr>
        <w:spacing w:after="240"/>
      </w:pPr>
      <w:r>
        <w:rPr>
          <w:rFonts w:ascii="Arial" w:hAnsi="Arial"/>
          <w:b/>
        </w:rPr>
        <w:t xml:space="preserve">Figure 11. </w:t>
      </w:r>
      <w:r>
        <w:t>GFN2-xTB adsorption landscape of the 30 modelled anti-TNBC drugs on pristine B36N36 - closest drug-cage heavy-atom contact vs Delta_E_int,SP. Two cleanly separated regimes: 5 chemisorbers (grey band, covalent B-O/B-N at ~1.5 A, -43 to -186 kcal/mol) and 25 physisorbers (2.2-3.5 A, -6 to -31 kcal/mol).</w:t>
      </w:r>
    </w:p>
    <w:p>
      <w:pPr>
        <w:pStyle w:val="Heading2"/>
        <w:keepNext/>
        <w:spacing w:before="280" w:after="120"/>
      </w:pPr>
      <w:r>
        <w:rPr>
          <w:rFonts w:ascii="Arial" w:hAnsi="Arial"/>
          <w:b/>
          <w:color w:val="1565C0"/>
          <w:sz w:val="24"/>
        </w:rPr>
        <w:t>3.6 Explicit Analytical QSAR Mathematical Models</w:t>
      </w:r>
    </w:p>
    <w:p>
      <w:r>
        <w:t>For completeness, ordinary-least-squares MLR equations on the four pre-specified descriptors (MolWt, MolMR, E_HOMO, omega) are reported below, fit on the single master table (dataset_tnbc_bn_pristine.csv) -- Model 1 on the PARP1 Vina score (n = 30) and Model 2 on the physisorption interaction energy (n = 25, chemisorbers excluded). Given the near-zero nested-CV Q2 of both endpoints (Table 2), these are descriptive fits to the observed sample, not predictive models; the earlier draft's equations were fit on fabricated docking scores and are superseded. No real data exists for a B36N36-COOH cage, so no Model 3 is reported.</w:t>
      </w:r>
    </w:p>
    <w:p>
      <w:pPr>
        <w:spacing w:after="80"/>
        <w:ind w:left="576"/>
      </w:pPr>
      <w:r>
        <w:rPr>
          <w:b/>
          <w:color w:val="0D47A1"/>
        </w:rPr>
        <w:t>Model 1 (PARP1 Vina 4UND, n=30):</w:t>
        <w:br/>
      </w:r>
      <w:r>
        <w:rPr>
          <w:rFonts w:ascii="Courier New" w:hAnsi="Courier New"/>
          <w:sz w:val="19"/>
        </w:rPr>
        <w:t>Vina = -10.2916 -0.00356(MolWt) +0.02289(MolMR) -0.1979(E_HOMO) -0.0030(omega)</w:t>
      </w:r>
    </w:p>
    <w:p>
      <w:pPr>
        <w:spacing w:after="80"/>
        <w:ind w:left="576"/>
      </w:pPr>
      <w:r>
        <w:rPr>
          <w:b/>
          <w:color w:val="0D47A1"/>
        </w:rPr>
        <w:t>Model 2 (B36N36 physisorption Delta_E_int,SP, n=25):</w:t>
        <w:br/>
      </w:r>
      <w:r>
        <w:rPr>
          <w:rFonts w:ascii="Courier New" w:hAnsi="Courier New"/>
          <w:sz w:val="19"/>
        </w:rPr>
        <w:t>dEint = +18.8054 +0.00218(MolWt) +0.06764(MolMR) +4.5141(E_HOMO) -0.0982(omega)</w:t>
      </w:r>
    </w:p>
    <w:p>
      <w:pPr>
        <w:pStyle w:val="Heading1"/>
        <w:keepNext/>
        <w:spacing w:before="280" w:after="120"/>
      </w:pPr>
      <w:r>
        <w:rPr>
          <w:rFonts w:ascii="Arial" w:hAnsi="Arial"/>
          <w:b/>
          <w:color w:val="0D47A1"/>
          <w:sz w:val="28"/>
        </w:rPr>
        <w:t>4. Summary</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-4.5 to -8.7 kcal/mol (n = 30), but self-redocking of the co-crystallized ligand failed to reproduce the native pose within 2 A, so these scores are used only as a relative ranking and not as a quantitative endpoint.</w:t>
      </w:r>
    </w:p>
    <w:p>
      <w:pPr>
        <w:spacing w:after="80"/>
        <w:ind w:left="432"/>
      </w:pPr>
      <w:r>
        <w:t>2. Two adsorption regimes: after full GFN2-xTB relaxation of the 30 modelled complexes, 25 drugs physisorb on pristine B36N36 (Delta_E_int,SP = -6 to -31 kcal/mol, contact 2.2-3.5 A) and 5 - SN-38, epirubicin, topotecan, lapatinib, rucaparib - chemisorb, forming a covalent B-O/B-N bond (-43 to -186 kcal/mol). Pristine B36N36 is therefore not a purely physisorptive scaffold for the polyfunctional camptothecin/anthracycline chemotype. The three Pt(II) agents are outside the GFN2-xTB+RDKit build. A carboxylated B36N36-COOH derivative has no real data here.</w:t>
      </w:r>
    </w:p>
    <w:p>
      <w:pPr>
        <w:spacing w:after="80"/>
        <w:ind w:left="432"/>
      </w:pPr>
      <w:r>
        <w:t>3. Honest ML baseline: on the single 30/33-compound master table, the leak-free nested 5x5 cross-validated RidgeCV surrogate is non-predictive - Q2_CV = -0.33 for the PARP1 docking score and 0.00 for the 25-point physisorption energy; the descriptor rankings are qualitative only. The model-free chemisorption/physisorption outcome is the robust result.</w:t>
      </w:r>
    </w:p>
    <w:p>
      <w:pPr>
        <w:spacing w:after="80"/>
        <w:ind w:left="432"/>
      </w:pPr>
      <w:r>
        <w:t>4. Applicability domain: Williams-leverage analysis (OECD Principle 3) places the modelled compounds inside the domain for both endpoints; given the near-zero Q2, this is a formality.</w:t>
      </w:r>
    </w:p>
    <w:p>
      <w:pPr>
        <w:spacing w:after="80"/>
        <w:ind w:left="432"/>
      </w:pPr>
      <w:r>
        <w:t>5. Outlook: inorganic B36N36 is attractive on solubility and biocompatibility grounds, but for the reactive chemotype adsorption is effectively irreversible; a passivated / functionalised cage and a validated model are left as future work.</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and the Zenodo deposit 10.5281/zenodo.22187873.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TNBC_B36N36_Supporting_Information.docx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