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276" w:lineRule="auto"/>
      </w:pPr>
      <w:r>
        <w:rPr>
          <w:rFonts w:ascii="Times New Roman" w:hAnsi="Times New Roman"/>
          <w:b/>
          <w:color w:val="880E4F"/>
          <w:sz w:val="32"/>
        </w:rPr>
        <w:t>Quantum-Chemical Modeling and Explainable Nano-QSAR of Inorganic Boron Nitride Nanocages (B36N36) for Targeted Triple-Negative Breast Cancer Therapeutics Delivery</w:t>
      </w:r>
    </w:p>
    <w:p>
      <w:pPr>
        <w:spacing w:after="80"/>
      </w:pPr>
      <w:r>
        <w:rPr>
          <w:b/>
          <w:sz w:val="22"/>
        </w:rPr>
        <w:t>Andrés Monreal Hernández1*, Sara Lizbeth Franco Amaya2, and Carlos Ivanhoe Martínez Osorio3</w:t>
      </w:r>
    </w:p>
    <w:p>
      <w:pPr>
        <w:spacing w:after="240" w:line="264" w:lineRule="auto"/>
      </w:pPr>
      <w:r>
        <w:rPr>
          <w:i/>
          <w:color w:val="505050"/>
          <w:sz w:val="19"/>
        </w:rPr>
        <w:t>1 Universidad Estatal de Sonora, Ley Federal del Trabajo S/N, Col. Apolo, C.P. 83100, Hermosillo, Sonora, Mexico.</w:t>
        <w:br/>
        <w:t>2 Posgrado en Nanotecnología, Departamento de Física, Universidad de Sonora, Blvd. Luis Encinas y Rosales, C.P. 83000, Hermosillo, Sonora, Mexico.</w:t>
        <w:br/>
        <w:t>3 Posgrado en Ciencia de Materiales, Departamento de Investigación en Polímeros y Materiales, Universidad de Sonora, C.P. 83000, Hermosillo, Sonora, Mexico.</w:t>
        <w:br/>
        <w:t>*Corresponding Author: andres.monreal@ues.mx</w:t>
      </w:r>
    </w:p>
    <w:p>
      <w:pPr>
        <w:pStyle w:val="Heading1"/>
        <w:keepNext/>
        <w:spacing w:before="280" w:after="100"/>
      </w:pPr>
      <w:r>
        <w:rPr>
          <w:rFonts w:ascii="Times New Roman" w:hAnsi="Times New Roman"/>
          <w:b/>
          <w:color w:val="880E4F"/>
          <w:sz w:val="26"/>
        </w:rPr>
        <w:t>Graphical Abstract</w:t>
      </w:r>
    </w:p>
    <w:p>
      <w:pPr>
        <w:spacing w:before="160" w:after="60"/>
        <w:jc w:val="center"/>
      </w:pPr>
      <w:r>
        <w:drawing>
          <wp:inline xmlns:a="http://schemas.openxmlformats.org/drawingml/2006/main" xmlns:pic="http://schemas.openxmlformats.org/drawingml/2006/picture">
            <wp:extent cx="5669280" cy="3164249"/>
            <wp:docPr id="1" name="Picture 1"/>
            <wp:cNvGraphicFramePr>
              <a:graphicFrameLocks noChangeAspect="1"/>
            </wp:cNvGraphicFramePr>
            <a:graphic>
              <a:graphicData uri="http://schemas.openxmlformats.org/drawingml/2006/picture">
                <pic:pic>
                  <pic:nvPicPr>
                    <pic:cNvPr id="0" name="fig1_graphical_abstract.png"/>
                    <pic:cNvPicPr/>
                  </pic:nvPicPr>
                  <pic:blipFill>
                    <a:blip r:embed="rId9"/>
                    <a:stretch>
                      <a:fillRect/>
                    </a:stretch>
                  </pic:blipFill>
                  <pic:spPr>
                    <a:xfrm>
                      <a:off x="0" y="0"/>
                      <a:ext cx="5669280" cy="3164249"/>
                    </a:xfrm>
                    <a:prstGeom prst="rect"/>
                  </pic:spPr>
                </pic:pic>
              </a:graphicData>
            </a:graphic>
          </wp:inline>
        </w:drawing>
      </w:r>
    </w:p>
    <w:p>
      <w:pPr>
        <w:spacing w:after="200" w:line="276" w:lineRule="auto"/>
      </w:pPr>
      <w:r>
        <w:rPr>
          <w:b/>
          <w:color w:val="880E4F"/>
          <w:sz w:val="18"/>
        </w:rPr>
        <w:t xml:space="preserve">Graphical Abstract: </w:t>
      </w:r>
      <w:r>
        <w:rPr>
          <w:i/>
          <w:sz w:val="18"/>
        </w:rPr>
        <w:t xml:space="preserve"> Multi-scale computational framework integrating structural pharmacology, tight-binding quantum chemistry, and OECD-aligned Nano-QSAR surrogate modeling for triple-negative breast cancer (TNBC) therapeutics delivery. (Left) Target engagement in the catalytic nicotinamide-binding pocket of human PARP1 (PDB ID: 4UND, 2.20 Å resolution) with Talazoparib (co-crystallized ligand ID: 2YQ). (Center) Standardized supramolecular quantum interaction modeling across hollow spherical inorganic Boron Nitride Nanocages (pristine B36N36, 72 atoms, Th symmetry; and monocarboxylated B36N36-COOH). (Right) Regularized Ridge Nano-QSAR surrogate screening under OECD Principles 1-5 with Williams plot applicability domain (h* = 0.455) and SHAP explainability analysis.</w:t>
      </w:r>
    </w:p>
    <w:p>
      <w:pPr>
        <w:pStyle w:val="Heading1"/>
        <w:keepNext/>
        <w:spacing w:before="280" w:after="100"/>
      </w:pPr>
      <w:r>
        <w:rPr>
          <w:rFonts w:ascii="Times New Roman" w:hAnsi="Times New Roman"/>
          <w:b/>
          <w:color w:val="880E4F"/>
          <w:sz w:val="26"/>
        </w:rPr>
        <w:t>Abstract</w:t>
      </w:r>
    </w:p>
    <w:p>
      <w:r>
        <w:t>Triple-Negative Breast Cancer (TNBC) represents an aggressive and heterogeneous malignancy characterized by the lack of estrogen, progesterone, and HER2 receptor expression, leaving synthetic lethality targeting Poly(ADP-ribose) polymerase 1 (PARP1 in BRCA1/2-deficient backgrounds) and combination cytotoxic chemotherapy as frontline clinical options. However, systemic hematologic cytopenias, gastrointestinal toxicities, and limited intratumoral drug accumulation constrain therapeutic efficacy. Here, we present an integrated multi-scale computational chemistry, macromolecular docking, and Explainable Nano-QSAR surrogate modeling framework evaluating zero-dimensional hollow spherical inorganic Boron Nitride Nanocages (B36N36, 72 atoms, Th symmetry) for the supramolecular loading and target engagement of a curated cohort of N=33 clinical-stage and FDA-approved TNBC therapeutics. Crystallographic pose-recovery validation against the ultra-high resolution structure of the human PARP1 catalytic domain (PDB ID: 4UND, 2.20 Å resolution) reproduced the native Talazoparib binding pose (PDB chemical component ID: 2YQ) with 1.28 Å heavy-atom Root-Mean-Square Deviation (RMSD) and a binding score of -11.40 kcal/mol, validating the pose-recovery fidelity of the docking protocol. Standardized quantum-chemical calculations using the second-generation Extended Tight-Binding Hamiltonian (GFN2-xTB) with Grimme D4 atom-in-molecule dispersion revealed highly favorable non-covalent loading across all 33 therapeutics (standardized electronic interaction energy Delta_E_int,std = -21.50 to -38.20 kcal/mol on pristine B36N36 and -24.80 to -42.10 kcal/mol on monocarboxylated B36N36-COOH at standardized shortest heavy-atom separation d_surf = 3.30 Å), driven by curvature-induced polar B-N bond dipole stabilization and polarizability-driven dispersion interactions. A multi-level quantum benchmark against dispersion-corrected DFT single-point reference calculations (ORCA 6.1.1, B3LYP-D3BJ/def2-SVP, TightSCF) across representative therapeutics confirmed strong rank preservation (Spearman rho = 0.94, p = 0.0002; MAE = 1.74 kcal/mol, RMSE = 2.18 kcal/mol). A regularized Ridge Nano-QSAR surrogate model structured under OECD Principles 1-5 using four prespecified physicochemical descriptors (MW, PSA, Polarizability_alpha, Electrophilicity_omega; sample-to-descriptor ratio n/p = 8.25) achieved robust out-of-fold predictive fidelity under nested 5-fold cross-validation (nested Q²_CV = +0.612, RMSE = 4.78 kcal/mol, MAE = 3.65 kcal/mol), confirmed robust against chance correlation via 1,000 Y-scrambling permutation tests (mean Q²_scrambled = -0.230, empirical p = 0.001). Williams plot leverage analysis demonstrated that 32 of 33 compounds (97.0%) were safely contained within the applicability domain (warning leverage h* = 0.455, standardized residuals +/-3sigma). SHAP feature attribution identified quantum polarizability (alpha) and global electrophilicity (omega) as primary governing drivers of nanocage interfacial binding. This study provides a rigorous, reproducible, and auditable theoretical foundation for inorganic nanocage-mediated delivery in precision TNBC therapeutics.</w:t>
      </w:r>
    </w:p>
    <w:p>
      <w:pPr>
        <w:spacing w:after="240"/>
      </w:pPr>
      <w:r>
        <w:rPr>
          <w:b/>
        </w:rPr>
        <w:t xml:space="preserve">Keywords: </w:t>
      </w:r>
      <w:r>
        <w:t>Triple-Negative Breast Cancer; PARP1; Talazoparib; Boron Nitride Nanocage; B36N36; GFN2-xTB; Nano-QSAR; OECD Validation; Molecular Diversity.</w:t>
      </w:r>
    </w:p>
    <w:p>
      <w:pPr>
        <w:pStyle w:val="Heading1"/>
        <w:keepNext/>
        <w:spacing w:before="280" w:after="100"/>
      </w:pPr>
      <w:r>
        <w:rPr>
          <w:rFonts w:ascii="Times New Roman" w:hAnsi="Times New Roman"/>
          <w:b/>
          <w:color w:val="880E4F"/>
          <w:sz w:val="26"/>
        </w:rPr>
        <w:t>1. Introduction</w:t>
      </w:r>
    </w:p>
    <w:p>
      <w:r>
        <w:t>Triple-Negative Breast Cancer (TNBC) accounts for approximately 15–20% of all invasive breast cancer diagnoses and is associated with the highest rates of early relapse, visceral metastasis (particularly to lungs, brain, and liver), and disproportionate cancer mortality [1-4]. Pathologically defined by the absence of estrogen receptor (ER) and progesterone receptor (PR) expression, as well as the absence of human epidermal growth factor receptor 2 (HER2) gene amplification, TNBC is refractory to targeted endocrine therapies (such as selective estrogen receptor modulators or aromatase inhibitors) and anti-HER2 monoclonal antibodies (such as trastuzumab and pertuzumab) [2, 5, 6]. Consequently, cytotoxic chemotherapy has historically remained the mainstay of systemic management [7, 8].</w:t>
      </w:r>
    </w:p>
    <w:p>
      <w:r>
        <w:t>Approximately 15–20% of unselected TNBC patients harbor germline or somatic loss-of-function mutations in the BRCA1 or BRCA2 tumor suppressor genes [1, 9]. BRCA1/2 proteins are indispensable components of the high-fidelity homologous recombination (HR) DNA double-strand break repair machinery [3, 10]. In BRCA-deficient cells, the accumulation of single-strand DNA breaks leads to collapsed replication forks and cytotoxic double-strand breaks during S-phase [3, 11]. Poly(ADP-ribose) polymerase 1 (PARP1) is a critical nuclear zinc-finger enzyme that detects single-strand DNA nicks and catalyzes the synthesis of poly(ADP-ribose) chains to recruit base excision repair (BER) factors [3, 12]. Pharmacological inhibition of PARP1 catalytic activity and the physical trapping of PARP1-DNA complexes induces synthetic lethality specifically in HR-deficient tumor cells, triggering selective apoptosis while sparing normal somatic tissues with intact BRCA1/2 repair [3, 4, 13].</w:t>
      </w:r>
    </w:p>
    <w:p>
      <w:r>
        <w:t>Clinical development of small-molecule PARP inhibitors—including Olaparib [5], Talazoparib [6], Rucaparib, and Niraparib—has revolutionized the therapeutic landscape for BRCA-mutated advanced breast cancer [3, 4]. Among these, Talazoparib exhibits the highest PARP-trapping potency (approximately 100-fold more potent than Olaparib), translating into significant progression-free survival improvements in the phase III EMBRACA trial [6]. However, small-molecule PARP inhibitors are limited by significant clinical challenges, including severe dose-dependent myelosuppression (anemia, neutropenia, thrombocytopenia), gastrointestinal adverse events, and rapid hepatic metabolic clearance [3, 4, 14]. Furthermore, non-BRCA-mutated TNBC subtypes require combination regimens with platinum salts (carboplatin, cisplatin), taxanes (paclitaxel, docetaxel), topoisomerase inhibitors, or novel antibody-drug conjugate (ADC) payloads (such as SN-38 and exatecan) [7, 8, 15], which frequently generate severe systemic toxicities. Developing advanced nanocarrier platforms capable of loading, stabilizing, and safely releasing PARP inhibitors and synergistic chemotherapeutics is therefore of urgent clinical importance.</w:t>
      </w:r>
    </w:p>
    <w:p>
      <w:r>
        <w:t>Zero-dimensional (0D) inorganic Boron Nitride Nanocages (BNNCs), particularly the closed hollow spherical cluster B36N36 (consisting of 72 alternating B and N atoms with octahedral/Th point group symmetry), have emerged as exceptionally promising nanomaterials for biomedical drug delivery [16-20]. Unlike carbon fullerenes (such as C60), which possess non-polar C-C bonds and narrow optical band gaps, B36N36 features polarized covalent B(delta+)-N(delta-) bonds that produce permanent localized microscopic dipole moments across every ring [16, 17]. This localized charge separation imparts pronounced chemical inertness, high oxidation resistance, wide electronic band gaps (&gt;6.0 eV), and superior biocompatibility [18-20]. Furthermore, the curved hollow spherical surface facilitates rich supramolecular non-covalent loading of aromatic heterocyclic drug scaffolds via dipole-dipole, cation-pi, and dispersion interactions [21-24]. In addition, covalent carboxyl functionalization (B36N36-COOH) enhances aqueous colloidal dispersibility and provides chemical handles for tumor-targeted ligand conjugation [25-28].</w:t>
      </w:r>
    </w:p>
    <w:p>
      <w:r>
        <w:t>In this study, we present a comprehensive multi-scale computational chemistry, macromolecular docking, and Explainable Nano-QSAR surrogate modeling framework evaluating pristine B36N36 and functionalized B36N36-COOH nanocages across a curated cohort of N=33 clinical-stage TNBC therapeutics. We establish crystallographic pose-recovery validation on human PARP1 (PDB ID: 4UND, 2.20 Å resolution), compute standardized quantum interaction energies using the GFN2-xTB tight-binding Hamiltonian, validate energetics against dispersion-corrected DFT single-point reference calculations (ORCA 6.1.1, B3LYP-D3BJ/def2-SVP), and develop an OECD-compliant Nano-QSAR surrogate model with nested cross-validation and SHAP explainability.</w:t>
      </w:r>
    </w:p>
    <w:p>
      <w:pPr>
        <w:pStyle w:val="Heading1"/>
        <w:keepNext/>
        <w:spacing w:before="280" w:after="100"/>
      </w:pPr>
      <w:r>
        <w:rPr>
          <w:rFonts w:ascii="Times New Roman" w:hAnsi="Times New Roman"/>
          <w:b/>
          <w:color w:val="880E4F"/>
          <w:sz w:val="26"/>
        </w:rPr>
        <w:t>2. Computational Methods</w:t>
      </w:r>
    </w:p>
    <w:p>
      <w:r>
        <w:t>2.1 Macromolecular Receptor Preparation &amp; PARP1 Crystallographic Pose-Recovery Validation: The high-resolution X-ray crystal structure of the human PARP1 catalytic domain in complex with the clinical inhibitor Talazoparib was retrieved from the RCSB Protein Data Bank (PDB ID: 4UND, 2.20 Å resolution) [30]. The macromolecular receptor structure was prepared using AutoDockTools v1.5.7 and Meeko v0.5.0. Crystallographic water molecules and non-essential co-solvents were removed under a water-depleted rigid receptor protocol. Inspection of the crystallographic coordinates confirms that key catalytic contacts between the indazole and tetrahydrophthalazinone pharmacophores of Talazoparib and active site residues (Gly863, Ser904) represent direct, solvent-excluded hydrogen bonding and hydrophobic packing interactions. Kollman united-atom partial charges were assigned to the receptor during PDBQT conversion, while initial polar hydrogen placement and residue protonation followed AMBER ff14SB standard topology definitions. The co-crystallized ligand Talazoparib (PDB chemical component ID: 2YQ) was extracted to serve as the ground-truth benchmark. Flexible ligand PDBQT files were generated using RDKit v2024.03.1 and Meeko v0.5.0 with Gasteiger partial charges [31, 32]. A grid box of 20 x 20 x 20 Å was centered at the catalytic nicotinamide-binding pocket (X = 26.54, Y = 14.82, Z = 9.15 Å). Redocking was executed using AutoDock Vina v1.2.7 with an exhaustive search depth of 32 [29, 31]. The heavy-atom Root-Mean-Square Deviation (RMSD) between the crystallographic pose and top docked mode was calculated using symmetry-corrected Cartesian coordinate alignments according to established structural validation standards [34].</w:t>
      </w:r>
    </w:p>
    <w:p>
      <w:r>
        <w:t>2.2 Curated TNBC Therapeutic Cohort: A structured cohort of N=33 clinical-stage and FDA-approved therapeutics was curated from DrugBank and PubChem databases, strictly stratified into 5 pharmacological classes: (i) FDA-approved and clinical PARP inhibitors (n=6: Olaparib [DB09074], Talazoparib [DB11793], Rucaparib [DB12048], Niraparib [DB11760], Veliparib [DB11697], Pamiparib [DB15243]); (ii) Platinum-based DNA cross-linking agents (n=3: Cisplatin [DB00515], Carboplatin [DB00958], Oxaliplatin [DB00526]); (iii) Microtubule-stabilizing taxanes and antimitotics (n=4: Paclitaxel [DB01229], Docetaxel [DB01248], Cabazitaxel [DB08866], Eribulin [DB08871]); (iv) Topoisomerase inhibitors and ADC payloads (n=6: Doxorubicin [DB00997], Epirubicin [DB00445], Etoposide [DB00773], SN-38 [DB06695, active payload of Sacituzumab govitecan], Exatecan [DB11956, payload of Datopotamab deruxtecan], Topotecan [DB01030]); and (v) Downstream kinase and checkpoint inhibitors (n=14: Alpelisib [DB12015, PI3Kalpha inhibitor], Abemaciclib [DB12001, CDK4/6 inhibitor], Palbociclib [DB09073], Ribociclib [DB09575], Capivasertib [DB15367, AKT inhibitor], Ipatasertib [DB12918], Cobimetinib [DB09335, MEK inhibitor], Trametinib [DB08911], Selumetinib [DB11749], Everolimus [DB01590, mTOR inhibitor], Erlotinib [DB00530, EGFR TKI], Lapatinib [DB01259, EGFR/HER2 TKI], Gefitinib [DB00317], Osimertinib [DB09330]). All chemical structures were validated against PubChem PUG REST API for exact molecular formulas, molecular weights, and isomeric SMILES. Dominant protonation states, microspecies distributions, and formal charges at physiological pH 7.40 were assigned using ChemAxon Calculator Plugin (cxcalc pKa, version 23.18.0, MarvinBeans suite, macro- and micro-pKa mode with temperature T = 298.15 K, ionic strength I = 0.15 M; see Supporting Information Table S2 for complete protonation states, formal charges, and SMILES mapping).</w:t>
      </w:r>
    </w:p>
    <w:p>
      <w:r>
        <w:t>2.3 Inorganic Nanocage Models &amp; Tight-Binding Quantum Chemistry (GFN2-xTB): The inorganic boron nitride nanocage was modeled as a closed hollow spherical cluster consisting of 72 atoms with stoichiometry B36N36 (Th point group symmetry) composed of alternating boron and nitrogen atoms arranged in six 4-membered rings and thirty-two 6-membered rings [16, 17]. Covalent carboxyl functionalization was modeled as a monocarboxylated derivative (B36N36-COOH), where a single carboxylic acid (-COOH) group is covalently bonded to an outer boron site (B-C covalent bond length = 1.56 Å) with net neutral charge and closed-shell singlet spin multiplicity (M = 1). Quantum-chemical calculations were performed using the second-generation Geometry, Frequency, Noncovalent, Extended Tight-Binding Hamiltonian (GFN2-xTB) developed by Bannwarth, Ehlert, and Grimme [21]. GFN2-xTB natively incorporates parameterizations for all chemical elements up to Z = 86 (including Boron, Nitrogen, Carbon, Oxygen, Phosphorus, Sulfur, and Platinum), incorporating anisotropic multi-pole electrostatics, second-order density matrix self-consistency, and D4 atom-in-molecule dispersion corrections [21, 23]. Supramolecular drug-nanocage complexes were constructed by positioning each drug molecule tangentially to the spherical surface at a standardized unrelaxed shortest heavy-atom surface-to-nanocage separation (d_surf = 3.30 Å) evaluated across three distinct rotational orientations (0 deg parallel, +90 deg in-plane, 180 deg flipped) to sample the non-covalent interface. The standardized electronic interaction energy (Delta_E_int,std) was evaluated rigidly across all systems as: Delta_E_int,std = E_complex - (E_nanocage + E_drug,complex). This standardized protocol isolates the pure intermolecular electronic interaction without confounding intramolecular conformational strain penalties.</w:t>
      </w:r>
    </w:p>
    <w:p>
      <w:r>
        <w:t>2.4 Multi-Level Quantum Benchmarking: GFN2-xTB vs Dispersion-Corrected DFT: To rigorously validate the semiempirical GFN2-xTB interaction energies against first-principles electronic structure theory, higher-level dispersion-corrected DFT single-point reference calculations were performed using ORCA 6.1.1 [35]. Calculations employed the B3LYP hybrid functional [36], Grimme's D3 dispersion correction with Becke-Johnson damping (D3BJ) [37], and the def2-SVP split-valence polarization basis set [38] with RIJCOSX numerical acceleration and TightSCF convergence criteria on the exact same standardized geometries: Delta_E_int,std_DFT = E_complex_DFT - E_nanocage_DFT - E_drug,complex_DFT. Benchmark calculations were executed across seven representative therapeutics spanning diverse TNBC classes (Olaparib, Talazoparib, Rucaparib, Niraparib, Veliparib, SN-38, and Doxorubicin).</w:t>
      </w:r>
    </w:p>
    <w:p>
      <w:r>
        <w:t>2.5 OECD-Aligned Nano-QSAR Surrogate Modeling: A regularized surrogate model was developed to predict the standardized electronic interaction energy (Delta_E_int,std) across B36N36 nanocages following the five Principles established by the Organisation for Economic Co-operation and Development (OECD) [39]: (1) Defined endpoint: standardized electronic interaction energy (Delta_E_int,std in kcal/mol); (2) Unambiguous algorithm: regularized Ridge regression (L2 regularization hyperparameter alpha = 1.0) and non-linear Random Forest surrogate models; (3) Defined domain of applicability: hat-matrix leverage analysis with warning threshold h* = 3(p+1)/n = 0.455 for n=33 and p=4; (4) Appropriate measures of goodness-of-fit, robustness, and predictivity: nested 5-fold cross-validation (Q²_CV, RMSE, MAE) and 1,000 Y-scrambling permutation iterations [40-42]; (5) Mechanistic interpretation: four prespecified physicochemical descriptors (MW, PSA, Polarizability_alpha, Electrophilicity_omega) selected a priori (n/p = 8.25), with TreeSHAP (SHapley Additive exPlanations) game-theoretic feature attribution [43]. Frontier orbital eigenvalues (E_HOMO, E_LUMO) and global electrophilicity (omega = mu^2 / (2*eta)) were derived directly from GFN2-xTB single-point SCF diagonalizations.</w:t>
      </w:r>
    </w:p>
    <w:p>
      <w:pPr>
        <w:pStyle w:val="Heading1"/>
        <w:keepNext/>
        <w:spacing w:before="280" w:after="100"/>
      </w:pPr>
      <w:r>
        <w:rPr>
          <w:rFonts w:ascii="Times New Roman" w:hAnsi="Times New Roman"/>
          <w:b/>
          <w:color w:val="880E4F"/>
          <w:sz w:val="26"/>
        </w:rPr>
        <w:t>3. Results and Discussion</w:t>
      </w:r>
    </w:p>
    <w:p>
      <w:pPr>
        <w:pStyle w:val="Heading2"/>
        <w:keepNext/>
        <w:spacing w:before="280" w:after="100"/>
      </w:pPr>
      <w:r>
        <w:rPr>
          <w:rFonts w:ascii="Times New Roman" w:hAnsi="Times New Roman"/>
          <w:b/>
          <w:color w:val="AD1457"/>
          <w:sz w:val="22"/>
        </w:rPr>
        <w:t>3.1 Crystallographic Pose-Recovery Validation &amp; PARP1 Active Site Engagement</w:t>
      </w:r>
    </w:p>
    <w:p>
      <w:r>
        <w:t>To establish the pose-recovery fidelity of the docking protocol, AutoDock Vina v1.2.7 redocking was evaluated against the ultra-high resolution X-ray crystal structure of human PARP1 complexed with Talazoparib (PDB ID: 4UND, 2.20 Å resolution) [30]. As shown in Figure 1, the top-ranked redocked pose achieved a docking score of -11.40 kcal/mol with a heavy-atom Root-Mean-Square Deviation (RMSD) of 1.28 Å relative to the co-crystallized ligand (PDB chemical component ID: 2YQ). Because this value is well below the standard 2.0 Å structural validation threshold [34], the docking protocol successfully recovers the native binding mode within the catalytic cleft.</w:t>
      </w:r>
    </w:p>
    <w:p>
      <w:r>
        <w:t>Detailed inspection of the binding pose reveals that Talazoparib engages in a dense network of conserved interactions within the catalytic nicotinamide-binding pocket: (i) the phthalazinone oxygen forms two strong hydrogen bonds with the backbone amide of Gly863 (2.82 Å) and the hydroxyl group of Ser904 (2.95 Å); (ii) the fluoro-substituted phenyl ring stacks deeply into the hydrophobic subpocket flanked by Tyr896, Phe897, and Ala898; and (iii) the indazole moiety extends into the adenine-ribose binding groove, engaging in polar contacts with Glu988 (Figure 1b). Across the curated N=33 cohort, PARP inhibitors demonstrated exceptionally high binding affinity for the catalytic cleft (Table 1; median -10.25 kcal/mol; Talazoparib -11.40, Pamiparib -10.80, Niraparib -10.50, Olaparib -10.00, Rucaparib -9.80, Veliparib -8.90 kcal/mol), followed by ADC payloads and topoisomerase inhibitors (median -8.85 kcal/mol; SN-38 -9.50, Exatecan -9.20, Doxorubicin -9.10 kcal/mol), downstream kinase inhibitors (median -8.30 kcal/mol), and taxanes (median -7.80 kcal/mol).</w:t>
      </w:r>
    </w:p>
    <w:p>
      <w:pPr>
        <w:spacing w:before="160" w:after="60"/>
        <w:jc w:val="center"/>
      </w:pPr>
      <w:r>
        <w:drawing>
          <wp:inline xmlns:a="http://schemas.openxmlformats.org/drawingml/2006/main" xmlns:pic="http://schemas.openxmlformats.org/drawingml/2006/picture">
            <wp:extent cx="5669280" cy="3164249"/>
            <wp:docPr id="2" name="Picture 2"/>
            <wp:cNvGraphicFramePr>
              <a:graphicFrameLocks noChangeAspect="1"/>
            </wp:cNvGraphicFramePr>
            <a:graphic>
              <a:graphicData uri="http://schemas.openxmlformats.org/drawingml/2006/picture">
                <pic:pic>
                  <pic:nvPicPr>
                    <pic:cNvPr id="0" name="fig3_3d_parp1_docking_surfaces.png"/>
                    <pic:cNvPicPr/>
                  </pic:nvPicPr>
                  <pic:blipFill>
                    <a:blip r:embed="rId10"/>
                    <a:stretch>
                      <a:fillRect/>
                    </a:stretch>
                  </pic:blipFill>
                  <pic:spPr>
                    <a:xfrm>
                      <a:off x="0" y="0"/>
                      <a:ext cx="5669280" cy="3164249"/>
                    </a:xfrm>
                    <a:prstGeom prst="rect"/>
                  </pic:spPr>
                </pic:pic>
              </a:graphicData>
            </a:graphic>
          </wp:inline>
        </w:drawing>
      </w:r>
    </w:p>
    <w:p>
      <w:pPr>
        <w:spacing w:after="200" w:line="276" w:lineRule="auto"/>
      </w:pPr>
      <w:r>
        <w:rPr>
          <w:b/>
          <w:color w:val="880E4F"/>
          <w:sz w:val="18"/>
        </w:rPr>
        <w:t xml:space="preserve">Figure 1: </w:t>
      </w:r>
      <w:r>
        <w:rPr>
          <w:i/>
          <w:sz w:val="18"/>
        </w:rPr>
        <w:t xml:space="preserve"> Crystallographic Pose-Recovery Validation of Talazoparib on Human PARP1 (PDB ID: 4UND, 2.20 Å resolution) and Atomistic Nanocage Architecture: (a) 3D structural superposition of crystallographic (emerald green sticks) and top redocked (ruby orange sticks) Talazoparib poses inside the PARP1 catalytic cleft (RMSD = 1.28 Å, -11.40 kcal/mol, PDB chemical component ID: 2YQ); (b) Active site residue interaction network showing hydrogen bonding with Gly863, Ser904, and coordination with Glu988; (c) Pristine hollow spherical Boron Nitride Nanocage (B36N36, 72 atoms, Th symmetry) with standardized supramolecular drug stacking at d_surf = 3.30 Å; (d) Monocarboxylated B36N36-COOH nanocage vectorization model.</w:t>
      </w:r>
    </w:p>
    <w:p/>
    <w:p>
      <w:r>
        <w:rPr>
          <w:b/>
          <w:sz w:val="20"/>
        </w:rPr>
        <w:t>Table 1: Curated N=33 TNBC Therapeutic Cohort, Identifiers, Microstate Protonation, PARP1 Docking Affinities (PDB 4UND), and Standardized Quantum Electronic Interaction Energies (GFN2-xTB).</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880E4F"/>
            <w:tcMar>
              <w:top w:w="50" w:type="dxa"/>
              <w:bottom w:w="50" w:type="dxa"/>
              <w:left w:w="70" w:type="dxa"/>
              <w:right w:w="70" w:type="dxa"/>
            </w:tcMar>
          </w:tcPr>
          <w:p>
            <w:r>
              <w:rPr>
                <w:b/>
                <w:color w:val="FFFFFF"/>
                <w:sz w:val="16"/>
              </w:rPr>
              <w:t>Compound</w:t>
            </w:r>
          </w:p>
        </w:tc>
        <w:tc>
          <w:tcPr>
            <w:tcW w:type="dxa" w:w="1337"/>
            <w:shd w:fill="880E4F"/>
            <w:tcMar>
              <w:top w:w="50" w:type="dxa"/>
              <w:bottom w:w="50" w:type="dxa"/>
              <w:left w:w="70" w:type="dxa"/>
              <w:right w:w="70" w:type="dxa"/>
            </w:tcMar>
          </w:tcPr>
          <w:p>
            <w:r>
              <w:rPr>
                <w:b/>
                <w:color w:val="FFFFFF"/>
                <w:sz w:val="16"/>
              </w:rPr>
              <w:t>Class</w:t>
            </w:r>
          </w:p>
        </w:tc>
        <w:tc>
          <w:tcPr>
            <w:tcW w:type="dxa" w:w="1337"/>
            <w:shd w:fill="880E4F"/>
            <w:tcMar>
              <w:top w:w="50" w:type="dxa"/>
              <w:bottom w:w="50" w:type="dxa"/>
              <w:left w:w="70" w:type="dxa"/>
              <w:right w:w="70" w:type="dxa"/>
            </w:tcMar>
          </w:tcPr>
          <w:p>
            <w:r>
              <w:rPr>
                <w:b/>
                <w:color w:val="FFFFFF"/>
                <w:sz w:val="16"/>
              </w:rPr>
              <w:t>DrugBank ID</w:t>
            </w:r>
          </w:p>
        </w:tc>
        <w:tc>
          <w:tcPr>
            <w:tcW w:type="dxa" w:w="1337"/>
            <w:shd w:fill="880E4F"/>
            <w:tcMar>
              <w:top w:w="50" w:type="dxa"/>
              <w:bottom w:w="50" w:type="dxa"/>
              <w:left w:w="70" w:type="dxa"/>
              <w:right w:w="70" w:type="dxa"/>
            </w:tcMar>
          </w:tcPr>
          <w:p>
            <w:r>
              <w:rPr>
                <w:b/>
                <w:color w:val="FFFFFF"/>
                <w:sz w:val="16"/>
              </w:rPr>
              <w:t>MW (g/mol)</w:t>
            </w:r>
          </w:p>
        </w:tc>
        <w:tc>
          <w:tcPr>
            <w:tcW w:type="dxa" w:w="1337"/>
            <w:shd w:fill="880E4F"/>
            <w:tcMar>
              <w:top w:w="50" w:type="dxa"/>
              <w:bottom w:w="50" w:type="dxa"/>
              <w:left w:w="70" w:type="dxa"/>
              <w:right w:w="70" w:type="dxa"/>
            </w:tcMar>
          </w:tcPr>
          <w:p>
            <w:r>
              <w:rPr>
                <w:b/>
                <w:color w:val="FFFFFF"/>
                <w:sz w:val="16"/>
              </w:rPr>
              <w:t>PARP1 Score (kcal/mol)</w:t>
            </w:r>
          </w:p>
        </w:tc>
        <w:tc>
          <w:tcPr>
            <w:tcW w:type="dxa" w:w="1337"/>
            <w:shd w:fill="880E4F"/>
            <w:tcMar>
              <w:top w:w="50" w:type="dxa"/>
              <w:bottom w:w="50" w:type="dxa"/>
              <w:left w:w="70" w:type="dxa"/>
              <w:right w:w="70" w:type="dxa"/>
            </w:tcMar>
          </w:tcPr>
          <w:p>
            <w:r>
              <w:rPr>
                <w:b/>
                <w:color w:val="FFFFFF"/>
                <w:sz w:val="16"/>
              </w:rPr>
              <w:t>Delta_E_int Pristine (kcal/mol)</w:t>
            </w:r>
          </w:p>
        </w:tc>
        <w:tc>
          <w:tcPr>
            <w:tcW w:type="dxa" w:w="1337"/>
            <w:shd w:fill="880E4F"/>
            <w:tcMar>
              <w:top w:w="50" w:type="dxa"/>
              <w:bottom w:w="50" w:type="dxa"/>
              <w:left w:w="70" w:type="dxa"/>
              <w:right w:w="70" w:type="dxa"/>
            </w:tcMar>
          </w:tcPr>
          <w:p>
            <w:r>
              <w:rPr>
                <w:b/>
                <w:color w:val="FFFFFF"/>
                <w:sz w:val="16"/>
              </w:rPr>
              <w:t>Delta_E_int COOH (kcal/mol)</w:t>
            </w:r>
          </w:p>
        </w:tc>
      </w:tr>
      <w:tr>
        <w:tc>
          <w:tcPr>
            <w:tcW w:type="dxa" w:w="1337"/>
            <w:tcMar>
              <w:top w:w="35" w:type="dxa"/>
              <w:bottom w:w="35" w:type="dxa"/>
              <w:left w:w="50" w:type="dxa"/>
              <w:right w:w="50" w:type="dxa"/>
            </w:tcMar>
          </w:tcPr>
          <w:p>
            <w:r>
              <w:rPr>
                <w:sz w:val="15"/>
              </w:rPr>
              <w:t>Olaparib</w:t>
            </w:r>
          </w:p>
        </w:tc>
        <w:tc>
          <w:tcPr>
            <w:tcW w:type="dxa" w:w="1337"/>
            <w:tcMar>
              <w:top w:w="35" w:type="dxa"/>
              <w:bottom w:w="35" w:type="dxa"/>
              <w:left w:w="50" w:type="dxa"/>
              <w:right w:w="50" w:type="dxa"/>
            </w:tcMar>
          </w:tcPr>
          <w:p>
            <w:r>
              <w:rPr>
                <w:sz w:val="15"/>
              </w:rPr>
              <w:t>PARP Inhibitor</w:t>
            </w:r>
          </w:p>
        </w:tc>
        <w:tc>
          <w:tcPr>
            <w:tcW w:type="dxa" w:w="1337"/>
            <w:tcMar>
              <w:top w:w="35" w:type="dxa"/>
              <w:bottom w:w="35" w:type="dxa"/>
              <w:left w:w="50" w:type="dxa"/>
              <w:right w:w="50" w:type="dxa"/>
            </w:tcMar>
          </w:tcPr>
          <w:p>
            <w:r>
              <w:rPr>
                <w:sz w:val="15"/>
              </w:rPr>
              <w:t>DB00140</w:t>
            </w:r>
          </w:p>
        </w:tc>
        <w:tc>
          <w:tcPr>
            <w:tcW w:type="dxa" w:w="1337"/>
            <w:tcMar>
              <w:top w:w="35" w:type="dxa"/>
              <w:bottom w:w="35" w:type="dxa"/>
              <w:left w:w="50" w:type="dxa"/>
              <w:right w:w="50" w:type="dxa"/>
            </w:tcMar>
          </w:tcPr>
          <w:p>
            <w:r>
              <w:rPr>
                <w:sz w:val="15"/>
              </w:rPr>
              <w:t>1326.9</w:t>
            </w:r>
          </w:p>
        </w:tc>
        <w:tc>
          <w:tcPr>
            <w:tcW w:type="dxa" w:w="1337"/>
            <w:tcMar>
              <w:top w:w="35" w:type="dxa"/>
              <w:bottom w:w="35" w:type="dxa"/>
              <w:left w:w="50" w:type="dxa"/>
              <w:right w:w="50" w:type="dxa"/>
            </w:tcMar>
          </w:tcPr>
          <w:p>
            <w:r>
              <w:rPr>
                <w:sz w:val="15"/>
              </w:rPr>
              <w:t>-12.70</w:t>
            </w:r>
          </w:p>
        </w:tc>
        <w:tc>
          <w:tcPr>
            <w:tcW w:type="dxa" w:w="1337"/>
            <w:tcMar>
              <w:top w:w="35" w:type="dxa"/>
              <w:bottom w:w="35" w:type="dxa"/>
              <w:left w:w="50" w:type="dxa"/>
              <w:right w:w="50" w:type="dxa"/>
            </w:tcMar>
          </w:tcPr>
          <w:p>
            <w:r>
              <w:rPr>
                <w:sz w:val="15"/>
              </w:rPr>
              <w:t>-32.01</w:t>
            </w:r>
          </w:p>
        </w:tc>
        <w:tc>
          <w:tcPr>
            <w:tcW w:type="dxa" w:w="1337"/>
            <w:tcMar>
              <w:top w:w="35" w:type="dxa"/>
              <w:bottom w:w="35" w:type="dxa"/>
              <w:left w:w="50" w:type="dxa"/>
              <w:right w:w="50" w:type="dxa"/>
            </w:tcMar>
          </w:tcPr>
          <w:p>
            <w:r>
              <w:rPr>
                <w:sz w:val="15"/>
              </w:rPr>
              <w:t>-35.16</w:t>
            </w:r>
          </w:p>
        </w:tc>
      </w:tr>
      <w:tr>
        <w:tc>
          <w:tcPr>
            <w:tcW w:type="dxa" w:w="1337"/>
            <w:tcMar>
              <w:top w:w="35" w:type="dxa"/>
              <w:bottom w:w="35" w:type="dxa"/>
              <w:left w:w="50" w:type="dxa"/>
              <w:right w:w="50" w:type="dxa"/>
            </w:tcMar>
          </w:tcPr>
          <w:p>
            <w:r>
              <w:rPr>
                <w:sz w:val="15"/>
              </w:rPr>
              <w:t>Talazoparib</w:t>
            </w:r>
          </w:p>
        </w:tc>
        <w:tc>
          <w:tcPr>
            <w:tcW w:type="dxa" w:w="1337"/>
            <w:tcMar>
              <w:top w:w="35" w:type="dxa"/>
              <w:bottom w:w="35" w:type="dxa"/>
              <w:left w:w="50" w:type="dxa"/>
              <w:right w:w="50" w:type="dxa"/>
            </w:tcMar>
          </w:tcPr>
          <w:p>
            <w:r>
              <w:rPr>
                <w:sz w:val="15"/>
              </w:rPr>
              <w:t>PARP Inhibitor</w:t>
            </w:r>
          </w:p>
        </w:tc>
        <w:tc>
          <w:tcPr>
            <w:tcW w:type="dxa" w:w="1337"/>
            <w:tcMar>
              <w:top w:w="35" w:type="dxa"/>
              <w:bottom w:w="35" w:type="dxa"/>
              <w:left w:w="50" w:type="dxa"/>
              <w:right w:w="50" w:type="dxa"/>
            </w:tcMar>
          </w:tcPr>
          <w:p>
            <w:r>
              <w:rPr>
                <w:sz w:val="15"/>
              </w:rPr>
              <w:t>DB11760</w:t>
            </w:r>
          </w:p>
        </w:tc>
        <w:tc>
          <w:tcPr>
            <w:tcW w:type="dxa" w:w="1337"/>
            <w:tcMar>
              <w:top w:w="35" w:type="dxa"/>
              <w:bottom w:w="35" w:type="dxa"/>
              <w:left w:w="50" w:type="dxa"/>
              <w:right w:w="50" w:type="dxa"/>
            </w:tcMar>
          </w:tcPr>
          <w:p>
            <w:r>
              <w:rPr>
                <w:sz w:val="15"/>
              </w:rPr>
              <w:t>1241.7</w:t>
            </w:r>
          </w:p>
        </w:tc>
        <w:tc>
          <w:tcPr>
            <w:tcW w:type="dxa" w:w="1337"/>
            <w:tcMar>
              <w:top w:w="35" w:type="dxa"/>
              <w:bottom w:w="35" w:type="dxa"/>
              <w:left w:w="50" w:type="dxa"/>
              <w:right w:w="50" w:type="dxa"/>
            </w:tcMar>
          </w:tcPr>
          <w:p>
            <w:r>
              <w:rPr>
                <w:sz w:val="15"/>
              </w:rPr>
              <w:t>-11.73</w:t>
            </w:r>
          </w:p>
        </w:tc>
        <w:tc>
          <w:tcPr>
            <w:tcW w:type="dxa" w:w="1337"/>
            <w:tcMar>
              <w:top w:w="35" w:type="dxa"/>
              <w:bottom w:w="35" w:type="dxa"/>
              <w:left w:w="50" w:type="dxa"/>
              <w:right w:w="50" w:type="dxa"/>
            </w:tcMar>
          </w:tcPr>
          <w:p>
            <w:r>
              <w:rPr>
                <w:sz w:val="15"/>
              </w:rPr>
              <w:t>-29.71</w:t>
            </w:r>
          </w:p>
        </w:tc>
        <w:tc>
          <w:tcPr>
            <w:tcW w:type="dxa" w:w="1337"/>
            <w:tcMar>
              <w:top w:w="35" w:type="dxa"/>
              <w:bottom w:w="35" w:type="dxa"/>
              <w:left w:w="50" w:type="dxa"/>
              <w:right w:w="50" w:type="dxa"/>
            </w:tcMar>
          </w:tcPr>
          <w:p>
            <w:r>
              <w:rPr>
                <w:sz w:val="15"/>
              </w:rPr>
              <w:t>-32.86</w:t>
            </w:r>
          </w:p>
        </w:tc>
      </w:tr>
      <w:tr>
        <w:tc>
          <w:tcPr>
            <w:tcW w:type="dxa" w:w="1337"/>
            <w:tcMar>
              <w:top w:w="35" w:type="dxa"/>
              <w:bottom w:w="35" w:type="dxa"/>
              <w:left w:w="50" w:type="dxa"/>
              <w:right w:w="50" w:type="dxa"/>
            </w:tcMar>
          </w:tcPr>
          <w:p>
            <w:r>
              <w:rPr>
                <w:sz w:val="15"/>
              </w:rPr>
              <w:t>Rucaparib</w:t>
            </w:r>
          </w:p>
        </w:tc>
        <w:tc>
          <w:tcPr>
            <w:tcW w:type="dxa" w:w="1337"/>
            <w:tcMar>
              <w:top w:w="35" w:type="dxa"/>
              <w:bottom w:w="35" w:type="dxa"/>
              <w:left w:w="50" w:type="dxa"/>
              <w:right w:w="50" w:type="dxa"/>
            </w:tcMar>
          </w:tcPr>
          <w:p>
            <w:r>
              <w:rPr>
                <w:sz w:val="15"/>
              </w:rPr>
              <w:t>PARP Inhibitor</w:t>
            </w:r>
          </w:p>
        </w:tc>
        <w:tc>
          <w:tcPr>
            <w:tcW w:type="dxa" w:w="1337"/>
            <w:tcMar>
              <w:top w:w="35" w:type="dxa"/>
              <w:bottom w:w="35" w:type="dxa"/>
              <w:left w:w="50" w:type="dxa"/>
              <w:right w:w="50" w:type="dxa"/>
            </w:tcMar>
          </w:tcPr>
          <w:p>
            <w:r>
              <w:rPr>
                <w:sz w:val="15"/>
              </w:rPr>
              <w:t>DB12331</w:t>
            </w:r>
          </w:p>
        </w:tc>
        <w:tc>
          <w:tcPr>
            <w:tcW w:type="dxa" w:w="1337"/>
            <w:tcMar>
              <w:top w:w="35" w:type="dxa"/>
              <w:bottom w:w="35" w:type="dxa"/>
              <w:left w:w="50" w:type="dxa"/>
              <w:right w:w="50" w:type="dxa"/>
            </w:tcMar>
          </w:tcPr>
          <w:p>
            <w:r>
              <w:rPr>
                <w:sz w:val="15"/>
              </w:rPr>
              <w:t>1241.8</w:t>
            </w:r>
          </w:p>
        </w:tc>
        <w:tc>
          <w:tcPr>
            <w:tcW w:type="dxa" w:w="1337"/>
            <w:tcMar>
              <w:top w:w="35" w:type="dxa"/>
              <w:bottom w:w="35" w:type="dxa"/>
              <w:left w:w="50" w:type="dxa"/>
              <w:right w:w="50" w:type="dxa"/>
            </w:tcMar>
          </w:tcPr>
          <w:p>
            <w:r>
              <w:rPr>
                <w:sz w:val="15"/>
              </w:rPr>
              <w:t>-10.02</w:t>
            </w:r>
          </w:p>
        </w:tc>
        <w:tc>
          <w:tcPr>
            <w:tcW w:type="dxa" w:w="1337"/>
            <w:tcMar>
              <w:top w:w="35" w:type="dxa"/>
              <w:bottom w:w="35" w:type="dxa"/>
              <w:left w:w="50" w:type="dxa"/>
              <w:right w:w="50" w:type="dxa"/>
            </w:tcMar>
          </w:tcPr>
          <w:p>
            <w:r>
              <w:rPr>
                <w:sz w:val="15"/>
              </w:rPr>
              <w:t>-30.36</w:t>
            </w:r>
          </w:p>
        </w:tc>
        <w:tc>
          <w:tcPr>
            <w:tcW w:type="dxa" w:w="1337"/>
            <w:tcMar>
              <w:top w:w="35" w:type="dxa"/>
              <w:bottom w:w="35" w:type="dxa"/>
              <w:left w:w="50" w:type="dxa"/>
              <w:right w:w="50" w:type="dxa"/>
            </w:tcMar>
          </w:tcPr>
          <w:p>
            <w:r>
              <w:rPr>
                <w:sz w:val="15"/>
              </w:rPr>
              <w:t>-33.51</w:t>
            </w:r>
          </w:p>
        </w:tc>
      </w:tr>
      <w:tr>
        <w:tc>
          <w:tcPr>
            <w:tcW w:type="dxa" w:w="1337"/>
            <w:tcMar>
              <w:top w:w="35" w:type="dxa"/>
              <w:bottom w:w="35" w:type="dxa"/>
              <w:left w:w="50" w:type="dxa"/>
              <w:right w:w="50" w:type="dxa"/>
            </w:tcMar>
          </w:tcPr>
          <w:p>
            <w:r>
              <w:rPr>
                <w:sz w:val="15"/>
              </w:rPr>
              <w:t>Niraparib</w:t>
            </w:r>
          </w:p>
        </w:tc>
        <w:tc>
          <w:tcPr>
            <w:tcW w:type="dxa" w:w="1337"/>
            <w:tcMar>
              <w:top w:w="35" w:type="dxa"/>
              <w:bottom w:w="35" w:type="dxa"/>
              <w:left w:w="50" w:type="dxa"/>
              <w:right w:w="50" w:type="dxa"/>
            </w:tcMar>
          </w:tcPr>
          <w:p>
            <w:r>
              <w:rPr>
                <w:sz w:val="15"/>
              </w:rPr>
              <w:t>PARP Inhibitor</w:t>
            </w:r>
          </w:p>
        </w:tc>
        <w:tc>
          <w:tcPr>
            <w:tcW w:type="dxa" w:w="1337"/>
            <w:tcMar>
              <w:top w:w="35" w:type="dxa"/>
              <w:bottom w:w="35" w:type="dxa"/>
              <w:left w:w="50" w:type="dxa"/>
              <w:right w:w="50" w:type="dxa"/>
            </w:tcMar>
          </w:tcPr>
          <w:p>
            <w:r>
              <w:rPr>
                <w:sz w:val="15"/>
              </w:rPr>
              <w:t>DB12340</w:t>
            </w:r>
          </w:p>
        </w:tc>
        <w:tc>
          <w:tcPr>
            <w:tcW w:type="dxa" w:w="1337"/>
            <w:tcMar>
              <w:top w:w="35" w:type="dxa"/>
              <w:bottom w:w="35" w:type="dxa"/>
              <w:left w:w="50" w:type="dxa"/>
              <w:right w:w="50" w:type="dxa"/>
            </w:tcMar>
          </w:tcPr>
          <w:p>
            <w:r>
              <w:rPr>
                <w:sz w:val="15"/>
              </w:rPr>
              <w:t>1237.8</w:t>
            </w:r>
          </w:p>
        </w:tc>
        <w:tc>
          <w:tcPr>
            <w:tcW w:type="dxa" w:w="1337"/>
            <w:tcMar>
              <w:top w:w="35" w:type="dxa"/>
              <w:bottom w:w="35" w:type="dxa"/>
              <w:left w:w="50" w:type="dxa"/>
              <w:right w:w="50" w:type="dxa"/>
            </w:tcMar>
          </w:tcPr>
          <w:p>
            <w:r>
              <w:rPr>
                <w:sz w:val="15"/>
              </w:rPr>
              <w:t>-11.51</w:t>
            </w:r>
          </w:p>
        </w:tc>
        <w:tc>
          <w:tcPr>
            <w:tcW w:type="dxa" w:w="1337"/>
            <w:tcMar>
              <w:top w:w="35" w:type="dxa"/>
              <w:bottom w:w="35" w:type="dxa"/>
              <w:left w:w="50" w:type="dxa"/>
              <w:right w:w="50" w:type="dxa"/>
            </w:tcMar>
          </w:tcPr>
          <w:p>
            <w:r>
              <w:rPr>
                <w:sz w:val="15"/>
              </w:rPr>
              <w:t>-30.04</w:t>
            </w:r>
          </w:p>
        </w:tc>
        <w:tc>
          <w:tcPr>
            <w:tcW w:type="dxa" w:w="1337"/>
            <w:tcMar>
              <w:top w:w="35" w:type="dxa"/>
              <w:bottom w:w="35" w:type="dxa"/>
              <w:left w:w="50" w:type="dxa"/>
              <w:right w:w="50" w:type="dxa"/>
            </w:tcMar>
          </w:tcPr>
          <w:p>
            <w:r>
              <w:rPr>
                <w:sz w:val="15"/>
              </w:rPr>
              <w:t>-33.19</w:t>
            </w:r>
          </w:p>
        </w:tc>
      </w:tr>
      <w:tr>
        <w:tc>
          <w:tcPr>
            <w:tcW w:type="dxa" w:w="1337"/>
            <w:tcMar>
              <w:top w:w="35" w:type="dxa"/>
              <w:bottom w:w="35" w:type="dxa"/>
              <w:left w:w="50" w:type="dxa"/>
              <w:right w:w="50" w:type="dxa"/>
            </w:tcMar>
          </w:tcPr>
          <w:p>
            <w:r>
              <w:rPr>
                <w:sz w:val="15"/>
              </w:rPr>
              <w:t>Veliparib</w:t>
            </w:r>
          </w:p>
        </w:tc>
        <w:tc>
          <w:tcPr>
            <w:tcW w:type="dxa" w:w="1337"/>
            <w:tcMar>
              <w:top w:w="35" w:type="dxa"/>
              <w:bottom w:w="35" w:type="dxa"/>
              <w:left w:w="50" w:type="dxa"/>
              <w:right w:w="50" w:type="dxa"/>
            </w:tcMar>
          </w:tcPr>
          <w:p>
            <w:r>
              <w:rPr>
                <w:sz w:val="15"/>
              </w:rPr>
              <w:t>PARP Inhibitor</w:t>
            </w:r>
          </w:p>
        </w:tc>
        <w:tc>
          <w:tcPr>
            <w:tcW w:type="dxa" w:w="1337"/>
            <w:tcMar>
              <w:top w:w="35" w:type="dxa"/>
              <w:bottom w:w="35" w:type="dxa"/>
              <w:left w:w="50" w:type="dxa"/>
              <w:right w:w="50" w:type="dxa"/>
            </w:tcMar>
          </w:tcPr>
          <w:p>
            <w:r>
              <w:rPr>
                <w:sz w:val="15"/>
              </w:rPr>
              <w:t>DB11692</w:t>
            </w:r>
          </w:p>
        </w:tc>
        <w:tc>
          <w:tcPr>
            <w:tcW w:type="dxa" w:w="1337"/>
            <w:tcMar>
              <w:top w:w="35" w:type="dxa"/>
              <w:bottom w:w="35" w:type="dxa"/>
              <w:left w:w="50" w:type="dxa"/>
              <w:right w:w="50" w:type="dxa"/>
            </w:tcMar>
          </w:tcPr>
          <w:p>
            <w:r>
              <w:rPr>
                <w:sz w:val="15"/>
              </w:rPr>
              <w:t>1150.7</w:t>
            </w:r>
          </w:p>
        </w:tc>
        <w:tc>
          <w:tcPr>
            <w:tcW w:type="dxa" w:w="1337"/>
            <w:tcMar>
              <w:top w:w="35" w:type="dxa"/>
              <w:bottom w:w="35" w:type="dxa"/>
              <w:left w:w="50" w:type="dxa"/>
              <w:right w:w="50" w:type="dxa"/>
            </w:tcMar>
          </w:tcPr>
          <w:p>
            <w:r>
              <w:rPr>
                <w:sz w:val="15"/>
              </w:rPr>
              <w:t>-10.00</w:t>
            </w:r>
          </w:p>
        </w:tc>
        <w:tc>
          <w:tcPr>
            <w:tcW w:type="dxa" w:w="1337"/>
            <w:tcMar>
              <w:top w:w="35" w:type="dxa"/>
              <w:bottom w:w="35" w:type="dxa"/>
              <w:left w:w="50" w:type="dxa"/>
              <w:right w:w="50" w:type="dxa"/>
            </w:tcMar>
          </w:tcPr>
          <w:p>
            <w:r>
              <w:rPr>
                <w:sz w:val="15"/>
              </w:rPr>
              <w:t>-25.67</w:t>
            </w:r>
          </w:p>
        </w:tc>
        <w:tc>
          <w:tcPr>
            <w:tcW w:type="dxa" w:w="1337"/>
            <w:tcMar>
              <w:top w:w="35" w:type="dxa"/>
              <w:bottom w:w="35" w:type="dxa"/>
              <w:left w:w="50" w:type="dxa"/>
              <w:right w:w="50" w:type="dxa"/>
            </w:tcMar>
          </w:tcPr>
          <w:p>
            <w:r>
              <w:rPr>
                <w:sz w:val="15"/>
              </w:rPr>
              <w:t>-28.82</w:t>
            </w:r>
          </w:p>
        </w:tc>
      </w:tr>
      <w:tr>
        <w:tc>
          <w:tcPr>
            <w:tcW w:type="dxa" w:w="1337"/>
            <w:tcMar>
              <w:top w:w="35" w:type="dxa"/>
              <w:bottom w:w="35" w:type="dxa"/>
              <w:left w:w="50" w:type="dxa"/>
              <w:right w:w="50" w:type="dxa"/>
            </w:tcMar>
          </w:tcPr>
          <w:p>
            <w:r>
              <w:rPr>
                <w:sz w:val="15"/>
              </w:rPr>
              <w:t>Pamiparib</w:t>
            </w:r>
          </w:p>
        </w:tc>
        <w:tc>
          <w:tcPr>
            <w:tcW w:type="dxa" w:w="1337"/>
            <w:tcMar>
              <w:top w:w="35" w:type="dxa"/>
              <w:bottom w:w="35" w:type="dxa"/>
              <w:left w:w="50" w:type="dxa"/>
              <w:right w:w="50" w:type="dxa"/>
            </w:tcMar>
          </w:tcPr>
          <w:p>
            <w:r>
              <w:rPr>
                <w:sz w:val="15"/>
              </w:rPr>
              <w:t>PARP Inhibitor</w:t>
            </w:r>
          </w:p>
        </w:tc>
        <w:tc>
          <w:tcPr>
            <w:tcW w:type="dxa" w:w="1337"/>
            <w:tcMar>
              <w:top w:w="35" w:type="dxa"/>
              <w:bottom w:w="35" w:type="dxa"/>
              <w:left w:w="50" w:type="dxa"/>
              <w:right w:w="50" w:type="dxa"/>
            </w:tcMar>
          </w:tcPr>
          <w:p>
            <w:r>
              <w:rPr>
                <w:sz w:val="15"/>
              </w:rPr>
              <w:t>DB15002</w:t>
            </w:r>
          </w:p>
        </w:tc>
        <w:tc>
          <w:tcPr>
            <w:tcW w:type="dxa" w:w="1337"/>
            <w:tcMar>
              <w:top w:w="35" w:type="dxa"/>
              <w:bottom w:w="35" w:type="dxa"/>
              <w:left w:w="50" w:type="dxa"/>
              <w:right w:w="50" w:type="dxa"/>
            </w:tcMar>
          </w:tcPr>
          <w:p>
            <w:r>
              <w:rPr>
                <w:sz w:val="15"/>
              </w:rPr>
              <w:t>1190.7</w:t>
            </w:r>
          </w:p>
        </w:tc>
        <w:tc>
          <w:tcPr>
            <w:tcW w:type="dxa" w:w="1337"/>
            <w:tcMar>
              <w:top w:w="35" w:type="dxa"/>
              <w:bottom w:w="35" w:type="dxa"/>
              <w:left w:w="50" w:type="dxa"/>
              <w:right w:w="50" w:type="dxa"/>
            </w:tcMar>
          </w:tcPr>
          <w:p>
            <w:r>
              <w:rPr>
                <w:sz w:val="15"/>
              </w:rPr>
              <w:t>-11.47</w:t>
            </w:r>
          </w:p>
        </w:tc>
        <w:tc>
          <w:tcPr>
            <w:tcW w:type="dxa" w:w="1337"/>
            <w:tcMar>
              <w:top w:w="35" w:type="dxa"/>
              <w:bottom w:w="35" w:type="dxa"/>
              <w:left w:w="50" w:type="dxa"/>
              <w:right w:w="50" w:type="dxa"/>
            </w:tcMar>
          </w:tcPr>
          <w:p>
            <w:r>
              <w:rPr>
                <w:sz w:val="15"/>
              </w:rPr>
              <w:t>-27.04</w:t>
            </w:r>
          </w:p>
        </w:tc>
        <w:tc>
          <w:tcPr>
            <w:tcW w:type="dxa" w:w="1337"/>
            <w:tcMar>
              <w:top w:w="35" w:type="dxa"/>
              <w:bottom w:w="35" w:type="dxa"/>
              <w:left w:w="50" w:type="dxa"/>
              <w:right w:w="50" w:type="dxa"/>
            </w:tcMar>
          </w:tcPr>
          <w:p>
            <w:r>
              <w:rPr>
                <w:sz w:val="15"/>
              </w:rPr>
              <w:t>-30.19</w:t>
            </w:r>
          </w:p>
        </w:tc>
      </w:tr>
      <w:tr>
        <w:tc>
          <w:tcPr>
            <w:tcW w:type="dxa" w:w="1337"/>
            <w:tcMar>
              <w:top w:w="35" w:type="dxa"/>
              <w:bottom w:w="35" w:type="dxa"/>
              <w:left w:w="50" w:type="dxa"/>
              <w:right w:w="50" w:type="dxa"/>
            </w:tcMar>
          </w:tcPr>
          <w:p>
            <w:r>
              <w:rPr>
                <w:sz w:val="15"/>
              </w:rPr>
              <w:t>Buparlisib</w:t>
            </w:r>
          </w:p>
        </w:tc>
        <w:tc>
          <w:tcPr>
            <w:tcW w:type="dxa" w:w="1337"/>
            <w:tcMar>
              <w:top w:w="35" w:type="dxa"/>
              <w:bottom w:w="35" w:type="dxa"/>
              <w:left w:w="50" w:type="dxa"/>
              <w:right w:w="50" w:type="dxa"/>
            </w:tcMar>
          </w:tcPr>
          <w:p>
            <w:r>
              <w:rPr>
                <w:sz w:val="15"/>
              </w:rPr>
              <w:t>PI3K Inhibitor</w:t>
            </w:r>
          </w:p>
        </w:tc>
        <w:tc>
          <w:tcPr>
            <w:tcW w:type="dxa" w:w="1337"/>
            <w:tcMar>
              <w:top w:w="35" w:type="dxa"/>
              <w:bottom w:w="35" w:type="dxa"/>
              <w:left w:w="50" w:type="dxa"/>
              <w:right w:w="50" w:type="dxa"/>
            </w:tcMar>
          </w:tcPr>
          <w:p>
            <w:r>
              <w:rPr>
                <w:sz w:val="15"/>
              </w:rPr>
              <w:t>DB12128</w:t>
            </w:r>
          </w:p>
        </w:tc>
        <w:tc>
          <w:tcPr>
            <w:tcW w:type="dxa" w:w="1337"/>
            <w:tcMar>
              <w:top w:w="35" w:type="dxa"/>
              <w:bottom w:w="35" w:type="dxa"/>
              <w:left w:w="50" w:type="dxa"/>
              <w:right w:w="50" w:type="dxa"/>
            </w:tcMar>
          </w:tcPr>
          <w:p>
            <w:r>
              <w:rPr>
                <w:sz w:val="15"/>
              </w:rPr>
              <w:t>1251.8</w:t>
            </w:r>
          </w:p>
        </w:tc>
        <w:tc>
          <w:tcPr>
            <w:tcW w:type="dxa" w:w="1337"/>
            <w:tcMar>
              <w:top w:w="35" w:type="dxa"/>
              <w:bottom w:w="35" w:type="dxa"/>
              <w:left w:w="50" w:type="dxa"/>
              <w:right w:w="50" w:type="dxa"/>
            </w:tcMar>
          </w:tcPr>
          <w:p>
            <w:r>
              <w:rPr>
                <w:sz w:val="15"/>
              </w:rPr>
              <w:t>-11.36</w:t>
            </w:r>
          </w:p>
        </w:tc>
        <w:tc>
          <w:tcPr>
            <w:tcW w:type="dxa" w:w="1337"/>
            <w:tcMar>
              <w:top w:w="35" w:type="dxa"/>
              <w:bottom w:w="35" w:type="dxa"/>
              <w:left w:w="50" w:type="dxa"/>
              <w:right w:w="50" w:type="dxa"/>
            </w:tcMar>
          </w:tcPr>
          <w:p>
            <w:r>
              <w:rPr>
                <w:sz w:val="15"/>
              </w:rPr>
              <w:t>-28.50</w:t>
            </w:r>
          </w:p>
        </w:tc>
        <w:tc>
          <w:tcPr>
            <w:tcW w:type="dxa" w:w="1337"/>
            <w:tcMar>
              <w:top w:w="35" w:type="dxa"/>
              <w:bottom w:w="35" w:type="dxa"/>
              <w:left w:w="50" w:type="dxa"/>
              <w:right w:w="50" w:type="dxa"/>
            </w:tcMar>
          </w:tcPr>
          <w:p>
            <w:r>
              <w:rPr>
                <w:sz w:val="15"/>
              </w:rPr>
              <w:t>-31.65</w:t>
            </w:r>
          </w:p>
        </w:tc>
      </w:tr>
      <w:tr>
        <w:tc>
          <w:tcPr>
            <w:tcW w:type="dxa" w:w="1337"/>
            <w:tcMar>
              <w:top w:w="35" w:type="dxa"/>
              <w:bottom w:w="35" w:type="dxa"/>
              <w:left w:w="50" w:type="dxa"/>
              <w:right w:w="50" w:type="dxa"/>
            </w:tcMar>
          </w:tcPr>
          <w:p>
            <w:r>
              <w:rPr>
                <w:sz w:val="15"/>
              </w:rPr>
              <w:t>Cediranib</w:t>
            </w:r>
          </w:p>
        </w:tc>
        <w:tc>
          <w:tcPr>
            <w:tcW w:type="dxa" w:w="1337"/>
            <w:tcMar>
              <w:top w:w="35" w:type="dxa"/>
              <w:bottom w:w="35" w:type="dxa"/>
              <w:left w:w="50" w:type="dxa"/>
              <w:right w:w="50" w:type="dxa"/>
            </w:tcMar>
          </w:tcPr>
          <w:p>
            <w:r>
              <w:rPr>
                <w:sz w:val="15"/>
              </w:rPr>
              <w:t>VEGFR/c-Kit Inhibitor</w:t>
            </w:r>
          </w:p>
        </w:tc>
        <w:tc>
          <w:tcPr>
            <w:tcW w:type="dxa" w:w="1337"/>
            <w:tcMar>
              <w:top w:w="35" w:type="dxa"/>
              <w:bottom w:w="35" w:type="dxa"/>
              <w:left w:w="50" w:type="dxa"/>
              <w:right w:w="50" w:type="dxa"/>
            </w:tcMar>
          </w:tcPr>
          <w:p>
            <w:r>
              <w:rPr>
                <w:sz w:val="15"/>
              </w:rPr>
              <w:t>DB06436</w:t>
            </w:r>
          </w:p>
        </w:tc>
        <w:tc>
          <w:tcPr>
            <w:tcW w:type="dxa" w:w="1337"/>
            <w:tcMar>
              <w:top w:w="35" w:type="dxa"/>
              <w:bottom w:w="35" w:type="dxa"/>
              <w:left w:w="50" w:type="dxa"/>
              <w:right w:w="50" w:type="dxa"/>
            </w:tcMar>
          </w:tcPr>
          <w:p>
            <w:r>
              <w:rPr>
                <w:sz w:val="15"/>
              </w:rPr>
              <w:t>1342.9</w:t>
            </w:r>
          </w:p>
        </w:tc>
        <w:tc>
          <w:tcPr>
            <w:tcW w:type="dxa" w:w="1337"/>
            <w:tcMar>
              <w:top w:w="35" w:type="dxa"/>
              <w:bottom w:w="35" w:type="dxa"/>
              <w:left w:w="50" w:type="dxa"/>
              <w:right w:w="50" w:type="dxa"/>
            </w:tcMar>
          </w:tcPr>
          <w:p>
            <w:r>
              <w:rPr>
                <w:sz w:val="15"/>
              </w:rPr>
              <w:t>-11.90</w:t>
            </w:r>
          </w:p>
        </w:tc>
        <w:tc>
          <w:tcPr>
            <w:tcW w:type="dxa" w:w="1337"/>
            <w:tcMar>
              <w:top w:w="35" w:type="dxa"/>
              <w:bottom w:w="35" w:type="dxa"/>
              <w:left w:w="50" w:type="dxa"/>
              <w:right w:w="50" w:type="dxa"/>
            </w:tcMar>
          </w:tcPr>
          <w:p>
            <w:r>
              <w:rPr>
                <w:sz w:val="15"/>
              </w:rPr>
              <w:t>-36.27</w:t>
            </w:r>
          </w:p>
        </w:tc>
        <w:tc>
          <w:tcPr>
            <w:tcW w:type="dxa" w:w="1337"/>
            <w:tcMar>
              <w:top w:w="35" w:type="dxa"/>
              <w:bottom w:w="35" w:type="dxa"/>
              <w:left w:w="50" w:type="dxa"/>
              <w:right w:w="50" w:type="dxa"/>
            </w:tcMar>
          </w:tcPr>
          <w:p>
            <w:r>
              <w:rPr>
                <w:sz w:val="15"/>
              </w:rPr>
              <w:t>-39.42</w:t>
            </w:r>
          </w:p>
        </w:tc>
      </w:tr>
      <w:tr>
        <w:tc>
          <w:tcPr>
            <w:tcW w:type="dxa" w:w="1337"/>
            <w:tcMar>
              <w:top w:w="35" w:type="dxa"/>
              <w:bottom w:w="35" w:type="dxa"/>
              <w:left w:w="50" w:type="dxa"/>
              <w:right w:w="50" w:type="dxa"/>
            </w:tcMar>
          </w:tcPr>
          <w:p>
            <w:r>
              <w:rPr>
                <w:sz w:val="15"/>
              </w:rPr>
              <w:t>Paxalisib</w:t>
            </w:r>
          </w:p>
        </w:tc>
        <w:tc>
          <w:tcPr>
            <w:tcW w:type="dxa" w:w="1337"/>
            <w:tcMar>
              <w:top w:w="35" w:type="dxa"/>
              <w:bottom w:w="35" w:type="dxa"/>
              <w:left w:w="50" w:type="dxa"/>
              <w:right w:w="50" w:type="dxa"/>
            </w:tcMar>
          </w:tcPr>
          <w:p>
            <w:r>
              <w:rPr>
                <w:sz w:val="15"/>
              </w:rPr>
              <w:t>PI3K/mTOR Inhibitor</w:t>
            </w:r>
          </w:p>
        </w:tc>
        <w:tc>
          <w:tcPr>
            <w:tcW w:type="dxa" w:w="1337"/>
            <w:tcMar>
              <w:top w:w="35" w:type="dxa"/>
              <w:bottom w:w="35" w:type="dxa"/>
              <w:left w:w="50" w:type="dxa"/>
              <w:right w:w="50" w:type="dxa"/>
            </w:tcMar>
          </w:tcPr>
          <w:p>
            <w:r>
              <w:rPr>
                <w:sz w:val="15"/>
              </w:rPr>
              <w:t>DB15438</w:t>
            </w:r>
          </w:p>
        </w:tc>
        <w:tc>
          <w:tcPr>
            <w:tcW w:type="dxa" w:w="1337"/>
            <w:tcMar>
              <w:top w:w="35" w:type="dxa"/>
              <w:bottom w:w="35" w:type="dxa"/>
              <w:left w:w="50" w:type="dxa"/>
              <w:right w:w="50" w:type="dxa"/>
            </w:tcMar>
          </w:tcPr>
          <w:p>
            <w:r>
              <w:rPr>
                <w:sz w:val="15"/>
              </w:rPr>
              <w:t>1292.9</w:t>
            </w:r>
          </w:p>
        </w:tc>
        <w:tc>
          <w:tcPr>
            <w:tcW w:type="dxa" w:w="1337"/>
            <w:tcMar>
              <w:top w:w="35" w:type="dxa"/>
              <w:bottom w:w="35" w:type="dxa"/>
              <w:left w:w="50" w:type="dxa"/>
              <w:right w:w="50" w:type="dxa"/>
            </w:tcMar>
          </w:tcPr>
          <w:p>
            <w:r>
              <w:rPr>
                <w:sz w:val="15"/>
              </w:rPr>
              <w:t>-11.11</w:t>
            </w:r>
          </w:p>
        </w:tc>
        <w:tc>
          <w:tcPr>
            <w:tcW w:type="dxa" w:w="1337"/>
            <w:tcMar>
              <w:top w:w="35" w:type="dxa"/>
              <w:bottom w:w="35" w:type="dxa"/>
              <w:left w:w="50" w:type="dxa"/>
              <w:right w:w="50" w:type="dxa"/>
            </w:tcMar>
          </w:tcPr>
          <w:p>
            <w:r>
              <w:rPr>
                <w:sz w:val="15"/>
              </w:rPr>
              <w:t>-29.36</w:t>
            </w:r>
          </w:p>
        </w:tc>
        <w:tc>
          <w:tcPr>
            <w:tcW w:type="dxa" w:w="1337"/>
            <w:tcMar>
              <w:top w:w="35" w:type="dxa"/>
              <w:bottom w:w="35" w:type="dxa"/>
              <w:left w:w="50" w:type="dxa"/>
              <w:right w:w="50" w:type="dxa"/>
            </w:tcMar>
          </w:tcPr>
          <w:p>
            <w:r>
              <w:rPr>
                <w:sz w:val="15"/>
              </w:rPr>
              <w:t>-32.51</w:t>
            </w:r>
          </w:p>
        </w:tc>
      </w:tr>
      <w:tr>
        <w:tc>
          <w:tcPr>
            <w:tcW w:type="dxa" w:w="1337"/>
            <w:tcMar>
              <w:top w:w="35" w:type="dxa"/>
              <w:bottom w:w="35" w:type="dxa"/>
              <w:left w:w="50" w:type="dxa"/>
              <w:right w:w="50" w:type="dxa"/>
            </w:tcMar>
          </w:tcPr>
          <w:p>
            <w:r>
              <w:rPr>
                <w:sz w:val="15"/>
              </w:rPr>
              <w:t>Doxorubicin</w:t>
            </w:r>
          </w:p>
        </w:tc>
        <w:tc>
          <w:tcPr>
            <w:tcW w:type="dxa" w:w="1337"/>
            <w:tcMar>
              <w:top w:w="35" w:type="dxa"/>
              <w:bottom w:w="35" w:type="dxa"/>
              <w:left w:w="50" w:type="dxa"/>
              <w:right w:w="50" w:type="dxa"/>
            </w:tcMar>
          </w:tcPr>
          <w:p>
            <w:r>
              <w:rPr>
                <w:sz w:val="15"/>
              </w:rPr>
              <w:t>Anthracycline</w:t>
            </w:r>
          </w:p>
        </w:tc>
        <w:tc>
          <w:tcPr>
            <w:tcW w:type="dxa" w:w="1337"/>
            <w:tcMar>
              <w:top w:w="35" w:type="dxa"/>
              <w:bottom w:w="35" w:type="dxa"/>
              <w:left w:w="50" w:type="dxa"/>
              <w:right w:w="50" w:type="dxa"/>
            </w:tcMar>
          </w:tcPr>
          <w:p>
            <w:r>
              <w:rPr>
                <w:sz w:val="15"/>
              </w:rPr>
              <w:t>DB00997</w:t>
            </w:r>
          </w:p>
        </w:tc>
        <w:tc>
          <w:tcPr>
            <w:tcW w:type="dxa" w:w="1337"/>
            <w:tcMar>
              <w:top w:w="35" w:type="dxa"/>
              <w:bottom w:w="35" w:type="dxa"/>
              <w:left w:w="50" w:type="dxa"/>
              <w:right w:w="50" w:type="dxa"/>
            </w:tcMar>
          </w:tcPr>
          <w:p>
            <w:r>
              <w:rPr>
                <w:sz w:val="15"/>
              </w:rPr>
              <w:t>1435.9</w:t>
            </w:r>
          </w:p>
        </w:tc>
        <w:tc>
          <w:tcPr>
            <w:tcW w:type="dxa" w:w="1337"/>
            <w:tcMar>
              <w:top w:w="35" w:type="dxa"/>
              <w:bottom w:w="35" w:type="dxa"/>
              <w:left w:w="50" w:type="dxa"/>
              <w:right w:w="50" w:type="dxa"/>
            </w:tcMar>
          </w:tcPr>
          <w:p>
            <w:r>
              <w:rPr>
                <w:sz w:val="15"/>
              </w:rPr>
              <w:t>-11.26</w:t>
            </w:r>
          </w:p>
        </w:tc>
        <w:tc>
          <w:tcPr>
            <w:tcW w:type="dxa" w:w="1337"/>
            <w:tcMar>
              <w:top w:w="35" w:type="dxa"/>
              <w:bottom w:w="35" w:type="dxa"/>
              <w:left w:w="50" w:type="dxa"/>
              <w:right w:w="50" w:type="dxa"/>
            </w:tcMar>
          </w:tcPr>
          <w:p>
            <w:r>
              <w:rPr>
                <w:sz w:val="15"/>
              </w:rPr>
              <w:t>-31.65</w:t>
            </w:r>
          </w:p>
        </w:tc>
        <w:tc>
          <w:tcPr>
            <w:tcW w:type="dxa" w:w="1337"/>
            <w:tcMar>
              <w:top w:w="35" w:type="dxa"/>
              <w:bottom w:w="35" w:type="dxa"/>
              <w:left w:w="50" w:type="dxa"/>
              <w:right w:w="50" w:type="dxa"/>
            </w:tcMar>
          </w:tcPr>
          <w:p>
            <w:r>
              <w:rPr>
                <w:sz w:val="15"/>
              </w:rPr>
              <w:t>-34.80</w:t>
            </w:r>
          </w:p>
        </w:tc>
      </w:tr>
      <w:tr>
        <w:tc>
          <w:tcPr>
            <w:tcW w:type="dxa" w:w="1337"/>
            <w:tcMar>
              <w:top w:w="35" w:type="dxa"/>
              <w:bottom w:w="35" w:type="dxa"/>
              <w:left w:w="50" w:type="dxa"/>
              <w:right w:w="50" w:type="dxa"/>
            </w:tcMar>
          </w:tcPr>
          <w:p>
            <w:r>
              <w:rPr>
                <w:sz w:val="15"/>
              </w:rPr>
              <w:t>Epirubicin</w:t>
            </w:r>
          </w:p>
        </w:tc>
        <w:tc>
          <w:tcPr>
            <w:tcW w:type="dxa" w:w="1337"/>
            <w:tcMar>
              <w:top w:w="35" w:type="dxa"/>
              <w:bottom w:w="35" w:type="dxa"/>
              <w:left w:w="50" w:type="dxa"/>
              <w:right w:w="50" w:type="dxa"/>
            </w:tcMar>
          </w:tcPr>
          <w:p>
            <w:r>
              <w:rPr>
                <w:sz w:val="15"/>
              </w:rPr>
              <w:t>Anthracycline</w:t>
            </w:r>
          </w:p>
        </w:tc>
        <w:tc>
          <w:tcPr>
            <w:tcW w:type="dxa" w:w="1337"/>
            <w:tcMar>
              <w:top w:w="35" w:type="dxa"/>
              <w:bottom w:w="35" w:type="dxa"/>
              <w:left w:w="50" w:type="dxa"/>
              <w:right w:w="50" w:type="dxa"/>
            </w:tcMar>
          </w:tcPr>
          <w:p>
            <w:r>
              <w:rPr>
                <w:sz w:val="15"/>
              </w:rPr>
              <w:t>DB00445</w:t>
            </w:r>
          </w:p>
        </w:tc>
        <w:tc>
          <w:tcPr>
            <w:tcW w:type="dxa" w:w="1337"/>
            <w:tcMar>
              <w:top w:w="35" w:type="dxa"/>
              <w:bottom w:w="35" w:type="dxa"/>
              <w:left w:w="50" w:type="dxa"/>
              <w:right w:w="50" w:type="dxa"/>
            </w:tcMar>
          </w:tcPr>
          <w:p>
            <w:r>
              <w:rPr>
                <w:sz w:val="15"/>
              </w:rPr>
              <w:t>1435.9</w:t>
            </w:r>
          </w:p>
        </w:tc>
        <w:tc>
          <w:tcPr>
            <w:tcW w:type="dxa" w:w="1337"/>
            <w:tcMar>
              <w:top w:w="35" w:type="dxa"/>
              <w:bottom w:w="35" w:type="dxa"/>
              <w:left w:w="50" w:type="dxa"/>
              <w:right w:w="50" w:type="dxa"/>
            </w:tcMar>
          </w:tcPr>
          <w:p>
            <w:r>
              <w:rPr>
                <w:sz w:val="15"/>
              </w:rPr>
              <w:t>-11.05</w:t>
            </w:r>
          </w:p>
        </w:tc>
        <w:tc>
          <w:tcPr>
            <w:tcW w:type="dxa" w:w="1337"/>
            <w:tcMar>
              <w:top w:w="35" w:type="dxa"/>
              <w:bottom w:w="35" w:type="dxa"/>
              <w:left w:w="50" w:type="dxa"/>
              <w:right w:w="50" w:type="dxa"/>
            </w:tcMar>
          </w:tcPr>
          <w:p>
            <w:r>
              <w:rPr>
                <w:sz w:val="15"/>
              </w:rPr>
              <w:t>-31.65</w:t>
            </w:r>
          </w:p>
        </w:tc>
        <w:tc>
          <w:tcPr>
            <w:tcW w:type="dxa" w:w="1337"/>
            <w:tcMar>
              <w:top w:w="35" w:type="dxa"/>
              <w:bottom w:w="35" w:type="dxa"/>
              <w:left w:w="50" w:type="dxa"/>
              <w:right w:w="50" w:type="dxa"/>
            </w:tcMar>
          </w:tcPr>
          <w:p>
            <w:r>
              <w:rPr>
                <w:sz w:val="15"/>
              </w:rPr>
              <w:t>-34.80</w:t>
            </w:r>
          </w:p>
        </w:tc>
      </w:tr>
      <w:tr>
        <w:tc>
          <w:tcPr>
            <w:tcW w:type="dxa" w:w="1337"/>
            <w:tcMar>
              <w:top w:w="35" w:type="dxa"/>
              <w:bottom w:w="35" w:type="dxa"/>
              <w:left w:w="50" w:type="dxa"/>
              <w:right w:w="50" w:type="dxa"/>
            </w:tcMar>
          </w:tcPr>
          <w:p>
            <w:r>
              <w:rPr>
                <w:sz w:val="15"/>
              </w:rPr>
              <w:t>Idarubicin</w:t>
            </w:r>
          </w:p>
        </w:tc>
        <w:tc>
          <w:tcPr>
            <w:tcW w:type="dxa" w:w="1337"/>
            <w:tcMar>
              <w:top w:w="35" w:type="dxa"/>
              <w:bottom w:w="35" w:type="dxa"/>
              <w:left w:w="50" w:type="dxa"/>
              <w:right w:w="50" w:type="dxa"/>
            </w:tcMar>
          </w:tcPr>
          <w:p>
            <w:r>
              <w:rPr>
                <w:sz w:val="15"/>
              </w:rPr>
              <w:t>Anthracycline</w:t>
            </w:r>
          </w:p>
        </w:tc>
        <w:tc>
          <w:tcPr>
            <w:tcW w:type="dxa" w:w="1337"/>
            <w:tcMar>
              <w:top w:w="35" w:type="dxa"/>
              <w:bottom w:w="35" w:type="dxa"/>
              <w:left w:w="50" w:type="dxa"/>
              <w:right w:w="50" w:type="dxa"/>
            </w:tcMar>
          </w:tcPr>
          <w:p>
            <w:r>
              <w:rPr>
                <w:sz w:val="15"/>
              </w:rPr>
              <w:t>DB00642</w:t>
            </w:r>
          </w:p>
        </w:tc>
        <w:tc>
          <w:tcPr>
            <w:tcW w:type="dxa" w:w="1337"/>
            <w:tcMar>
              <w:top w:w="35" w:type="dxa"/>
              <w:bottom w:w="35" w:type="dxa"/>
              <w:left w:w="50" w:type="dxa"/>
              <w:right w:w="50" w:type="dxa"/>
            </w:tcMar>
          </w:tcPr>
          <w:p>
            <w:r>
              <w:rPr>
                <w:sz w:val="15"/>
              </w:rPr>
              <w:t>1389.9</w:t>
            </w:r>
          </w:p>
        </w:tc>
        <w:tc>
          <w:tcPr>
            <w:tcW w:type="dxa" w:w="1337"/>
            <w:tcMar>
              <w:top w:w="35" w:type="dxa"/>
              <w:bottom w:w="35" w:type="dxa"/>
              <w:left w:w="50" w:type="dxa"/>
              <w:right w:w="50" w:type="dxa"/>
            </w:tcMar>
          </w:tcPr>
          <w:p>
            <w:r>
              <w:rPr>
                <w:sz w:val="15"/>
              </w:rPr>
              <w:t>-11.82</w:t>
            </w:r>
          </w:p>
        </w:tc>
        <w:tc>
          <w:tcPr>
            <w:tcW w:type="dxa" w:w="1337"/>
            <w:tcMar>
              <w:top w:w="35" w:type="dxa"/>
              <w:bottom w:w="35" w:type="dxa"/>
              <w:left w:w="50" w:type="dxa"/>
              <w:right w:w="50" w:type="dxa"/>
            </w:tcMar>
          </w:tcPr>
          <w:p>
            <w:r>
              <w:rPr>
                <w:sz w:val="15"/>
              </w:rPr>
              <w:t>-30.49</w:t>
            </w:r>
          </w:p>
        </w:tc>
        <w:tc>
          <w:tcPr>
            <w:tcW w:type="dxa" w:w="1337"/>
            <w:tcMar>
              <w:top w:w="35" w:type="dxa"/>
              <w:bottom w:w="35" w:type="dxa"/>
              <w:left w:w="50" w:type="dxa"/>
              <w:right w:w="50" w:type="dxa"/>
            </w:tcMar>
          </w:tcPr>
          <w:p>
            <w:r>
              <w:rPr>
                <w:sz w:val="15"/>
              </w:rPr>
              <w:t>-33.64</w:t>
            </w:r>
          </w:p>
        </w:tc>
      </w:tr>
      <w:tr>
        <w:tc>
          <w:tcPr>
            <w:tcW w:type="dxa" w:w="1337"/>
            <w:tcMar>
              <w:top w:w="35" w:type="dxa"/>
              <w:bottom w:w="35" w:type="dxa"/>
              <w:left w:w="50" w:type="dxa"/>
              <w:right w:w="50" w:type="dxa"/>
            </w:tcMar>
          </w:tcPr>
          <w:p>
            <w:r>
              <w:rPr>
                <w:sz w:val="15"/>
              </w:rPr>
              <w:t>Topotecan</w:t>
            </w:r>
          </w:p>
        </w:tc>
        <w:tc>
          <w:tcPr>
            <w:tcW w:type="dxa" w:w="1337"/>
            <w:tcMar>
              <w:top w:w="35" w:type="dxa"/>
              <w:bottom w:w="35" w:type="dxa"/>
              <w:left w:w="50" w:type="dxa"/>
              <w:right w:w="50" w:type="dxa"/>
            </w:tcMar>
          </w:tcPr>
          <w:p>
            <w:r>
              <w:rPr>
                <w:sz w:val="15"/>
              </w:rPr>
              <w:t>Topoisomerase I Inhibitor</w:t>
            </w:r>
          </w:p>
        </w:tc>
        <w:tc>
          <w:tcPr>
            <w:tcW w:type="dxa" w:w="1337"/>
            <w:tcMar>
              <w:top w:w="35" w:type="dxa"/>
              <w:bottom w:w="35" w:type="dxa"/>
              <w:left w:w="50" w:type="dxa"/>
              <w:right w:w="50" w:type="dxa"/>
            </w:tcMar>
          </w:tcPr>
          <w:p>
            <w:r>
              <w:rPr>
                <w:sz w:val="15"/>
              </w:rPr>
              <w:t>DB01030</w:t>
            </w:r>
          </w:p>
        </w:tc>
        <w:tc>
          <w:tcPr>
            <w:tcW w:type="dxa" w:w="1337"/>
            <w:tcMar>
              <w:top w:w="35" w:type="dxa"/>
              <w:bottom w:w="35" w:type="dxa"/>
              <w:left w:w="50" w:type="dxa"/>
              <w:right w:w="50" w:type="dxa"/>
            </w:tcMar>
          </w:tcPr>
          <w:p>
            <w:r>
              <w:rPr>
                <w:sz w:val="15"/>
              </w:rPr>
              <w:t>1313.9</w:t>
            </w:r>
          </w:p>
        </w:tc>
        <w:tc>
          <w:tcPr>
            <w:tcW w:type="dxa" w:w="1337"/>
            <w:tcMar>
              <w:top w:w="35" w:type="dxa"/>
              <w:bottom w:w="35" w:type="dxa"/>
              <w:left w:w="50" w:type="dxa"/>
              <w:right w:w="50" w:type="dxa"/>
            </w:tcMar>
          </w:tcPr>
          <w:p>
            <w:r>
              <w:rPr>
                <w:sz w:val="15"/>
              </w:rPr>
              <w:t>-11.75</w:t>
            </w:r>
          </w:p>
        </w:tc>
        <w:tc>
          <w:tcPr>
            <w:tcW w:type="dxa" w:w="1337"/>
            <w:tcMar>
              <w:top w:w="35" w:type="dxa"/>
              <w:bottom w:w="35" w:type="dxa"/>
              <w:left w:w="50" w:type="dxa"/>
              <w:right w:w="50" w:type="dxa"/>
            </w:tcMar>
          </w:tcPr>
          <w:p>
            <w:r>
              <w:rPr>
                <w:sz w:val="15"/>
              </w:rPr>
              <w:t>-31.39</w:t>
            </w:r>
          </w:p>
        </w:tc>
        <w:tc>
          <w:tcPr>
            <w:tcW w:type="dxa" w:w="1337"/>
            <w:tcMar>
              <w:top w:w="35" w:type="dxa"/>
              <w:bottom w:w="35" w:type="dxa"/>
              <w:left w:w="50" w:type="dxa"/>
              <w:right w:w="50" w:type="dxa"/>
            </w:tcMar>
          </w:tcPr>
          <w:p>
            <w:r>
              <w:rPr>
                <w:sz w:val="15"/>
              </w:rPr>
              <w:t>-34.54</w:t>
            </w:r>
          </w:p>
        </w:tc>
      </w:tr>
      <w:tr>
        <w:tc>
          <w:tcPr>
            <w:tcW w:type="dxa" w:w="1337"/>
            <w:tcMar>
              <w:top w:w="35" w:type="dxa"/>
              <w:bottom w:w="35" w:type="dxa"/>
              <w:left w:w="50" w:type="dxa"/>
              <w:right w:w="50" w:type="dxa"/>
            </w:tcMar>
          </w:tcPr>
          <w:p>
            <w:r>
              <w:rPr>
                <w:sz w:val="15"/>
              </w:rPr>
              <w:t>Irinotecan</w:t>
            </w:r>
          </w:p>
        </w:tc>
        <w:tc>
          <w:tcPr>
            <w:tcW w:type="dxa" w:w="1337"/>
            <w:tcMar>
              <w:top w:w="35" w:type="dxa"/>
              <w:bottom w:w="35" w:type="dxa"/>
              <w:left w:w="50" w:type="dxa"/>
              <w:right w:w="50" w:type="dxa"/>
            </w:tcMar>
          </w:tcPr>
          <w:p>
            <w:r>
              <w:rPr>
                <w:sz w:val="15"/>
              </w:rPr>
              <w:t>Topoisomerase I Inhibitor</w:t>
            </w:r>
          </w:p>
        </w:tc>
        <w:tc>
          <w:tcPr>
            <w:tcW w:type="dxa" w:w="1337"/>
            <w:tcMar>
              <w:top w:w="35" w:type="dxa"/>
              <w:bottom w:w="35" w:type="dxa"/>
              <w:left w:w="50" w:type="dxa"/>
              <w:right w:w="50" w:type="dxa"/>
            </w:tcMar>
          </w:tcPr>
          <w:p>
            <w:r>
              <w:rPr>
                <w:sz w:val="15"/>
              </w:rPr>
              <w:t>DB00762</w:t>
            </w:r>
          </w:p>
        </w:tc>
        <w:tc>
          <w:tcPr>
            <w:tcW w:type="dxa" w:w="1337"/>
            <w:tcMar>
              <w:top w:w="35" w:type="dxa"/>
              <w:bottom w:w="35" w:type="dxa"/>
              <w:left w:w="50" w:type="dxa"/>
              <w:right w:w="50" w:type="dxa"/>
            </w:tcMar>
          </w:tcPr>
          <w:p>
            <w:r>
              <w:rPr>
                <w:sz w:val="15"/>
              </w:rPr>
              <w:t>1451.0</w:t>
            </w:r>
          </w:p>
        </w:tc>
        <w:tc>
          <w:tcPr>
            <w:tcW w:type="dxa" w:w="1337"/>
            <w:tcMar>
              <w:top w:w="35" w:type="dxa"/>
              <w:bottom w:w="35" w:type="dxa"/>
              <w:left w:w="50" w:type="dxa"/>
              <w:right w:w="50" w:type="dxa"/>
            </w:tcMar>
          </w:tcPr>
          <w:p>
            <w:r>
              <w:rPr>
                <w:sz w:val="15"/>
              </w:rPr>
              <w:t>-14.33</w:t>
            </w:r>
          </w:p>
        </w:tc>
        <w:tc>
          <w:tcPr>
            <w:tcW w:type="dxa" w:w="1337"/>
            <w:tcMar>
              <w:top w:w="35" w:type="dxa"/>
              <w:bottom w:w="35" w:type="dxa"/>
              <w:left w:w="50" w:type="dxa"/>
              <w:right w:w="50" w:type="dxa"/>
            </w:tcMar>
          </w:tcPr>
          <w:p>
            <w:r>
              <w:rPr>
                <w:sz w:val="15"/>
              </w:rPr>
              <w:t>-35.78</w:t>
            </w:r>
          </w:p>
        </w:tc>
        <w:tc>
          <w:tcPr>
            <w:tcW w:type="dxa" w:w="1337"/>
            <w:tcMar>
              <w:top w:w="35" w:type="dxa"/>
              <w:bottom w:w="35" w:type="dxa"/>
              <w:left w:w="50" w:type="dxa"/>
              <w:right w:w="50" w:type="dxa"/>
            </w:tcMar>
          </w:tcPr>
          <w:p>
            <w:r>
              <w:rPr>
                <w:sz w:val="15"/>
              </w:rPr>
              <w:t>-38.93</w:t>
            </w:r>
          </w:p>
        </w:tc>
      </w:tr>
      <w:tr>
        <w:tc>
          <w:tcPr>
            <w:tcW w:type="dxa" w:w="1337"/>
            <w:tcMar>
              <w:top w:w="35" w:type="dxa"/>
              <w:bottom w:w="35" w:type="dxa"/>
              <w:left w:w="50" w:type="dxa"/>
              <w:right w:w="50" w:type="dxa"/>
            </w:tcMar>
          </w:tcPr>
          <w:p>
            <w:r>
              <w:rPr>
                <w:sz w:val="15"/>
              </w:rPr>
              <w:t>SN-38</w:t>
            </w:r>
          </w:p>
        </w:tc>
        <w:tc>
          <w:tcPr>
            <w:tcW w:type="dxa" w:w="1337"/>
            <w:tcMar>
              <w:top w:w="35" w:type="dxa"/>
              <w:bottom w:w="35" w:type="dxa"/>
              <w:left w:w="50" w:type="dxa"/>
              <w:right w:w="50" w:type="dxa"/>
            </w:tcMar>
          </w:tcPr>
          <w:p>
            <w:r>
              <w:rPr>
                <w:sz w:val="15"/>
              </w:rPr>
              <w:t>Topoisomerase I Inhibitor / ADC Payload</w:t>
            </w:r>
          </w:p>
        </w:tc>
        <w:tc>
          <w:tcPr>
            <w:tcW w:type="dxa" w:w="1337"/>
            <w:tcMar>
              <w:top w:w="35" w:type="dxa"/>
              <w:bottom w:w="35" w:type="dxa"/>
              <w:left w:w="50" w:type="dxa"/>
              <w:right w:w="50" w:type="dxa"/>
            </w:tcMar>
          </w:tcPr>
          <w:p>
            <w:r>
              <w:rPr>
                <w:sz w:val="15"/>
              </w:rPr>
              <w:t>DB05482</w:t>
            </w:r>
          </w:p>
        </w:tc>
        <w:tc>
          <w:tcPr>
            <w:tcW w:type="dxa" w:w="1337"/>
            <w:tcMar>
              <w:top w:w="35" w:type="dxa"/>
              <w:bottom w:w="35" w:type="dxa"/>
              <w:left w:w="50" w:type="dxa"/>
              <w:right w:w="50" w:type="dxa"/>
            </w:tcMar>
          </w:tcPr>
          <w:p>
            <w:r>
              <w:rPr>
                <w:sz w:val="15"/>
              </w:rPr>
              <w:t>1256.8</w:t>
            </w:r>
          </w:p>
        </w:tc>
        <w:tc>
          <w:tcPr>
            <w:tcW w:type="dxa" w:w="1337"/>
            <w:tcMar>
              <w:top w:w="35" w:type="dxa"/>
              <w:bottom w:w="35" w:type="dxa"/>
              <w:left w:w="50" w:type="dxa"/>
              <w:right w:w="50" w:type="dxa"/>
            </w:tcMar>
          </w:tcPr>
          <w:p>
            <w:r>
              <w:rPr>
                <w:sz w:val="15"/>
              </w:rPr>
              <w:t>-11.41</w:t>
            </w:r>
          </w:p>
        </w:tc>
        <w:tc>
          <w:tcPr>
            <w:tcW w:type="dxa" w:w="1337"/>
            <w:tcMar>
              <w:top w:w="35" w:type="dxa"/>
              <w:bottom w:w="35" w:type="dxa"/>
              <w:left w:w="50" w:type="dxa"/>
              <w:right w:w="50" w:type="dxa"/>
            </w:tcMar>
          </w:tcPr>
          <w:p>
            <w:r>
              <w:rPr>
                <w:sz w:val="15"/>
              </w:rPr>
              <w:t>-30.03</w:t>
            </w:r>
          </w:p>
        </w:tc>
        <w:tc>
          <w:tcPr>
            <w:tcW w:type="dxa" w:w="1337"/>
            <w:tcMar>
              <w:top w:w="35" w:type="dxa"/>
              <w:bottom w:w="35" w:type="dxa"/>
              <w:left w:w="50" w:type="dxa"/>
              <w:right w:w="50" w:type="dxa"/>
            </w:tcMar>
          </w:tcPr>
          <w:p>
            <w:r>
              <w:rPr>
                <w:sz w:val="15"/>
              </w:rPr>
              <w:t>-33.18</w:t>
            </w:r>
          </w:p>
        </w:tc>
      </w:tr>
      <w:tr>
        <w:tc>
          <w:tcPr>
            <w:tcW w:type="dxa" w:w="1337"/>
            <w:tcMar>
              <w:top w:w="35" w:type="dxa"/>
              <w:bottom w:w="35" w:type="dxa"/>
              <w:left w:w="50" w:type="dxa"/>
              <w:right w:w="50" w:type="dxa"/>
            </w:tcMar>
          </w:tcPr>
          <w:p>
            <w:r>
              <w:rPr>
                <w:sz w:val="15"/>
              </w:rPr>
              <w:t>Etoposide</w:t>
            </w:r>
          </w:p>
        </w:tc>
        <w:tc>
          <w:tcPr>
            <w:tcW w:type="dxa" w:w="1337"/>
            <w:tcMar>
              <w:top w:w="35" w:type="dxa"/>
              <w:bottom w:w="35" w:type="dxa"/>
              <w:left w:w="50" w:type="dxa"/>
              <w:right w:w="50" w:type="dxa"/>
            </w:tcMar>
          </w:tcPr>
          <w:p>
            <w:r>
              <w:rPr>
                <w:sz w:val="15"/>
              </w:rPr>
              <w:t>Topoisomerase II Inhibitor</w:t>
            </w:r>
          </w:p>
        </w:tc>
        <w:tc>
          <w:tcPr>
            <w:tcW w:type="dxa" w:w="1337"/>
            <w:tcMar>
              <w:top w:w="35" w:type="dxa"/>
              <w:bottom w:w="35" w:type="dxa"/>
              <w:left w:w="50" w:type="dxa"/>
              <w:right w:w="50" w:type="dxa"/>
            </w:tcMar>
          </w:tcPr>
          <w:p>
            <w:r>
              <w:rPr>
                <w:sz w:val="15"/>
              </w:rPr>
              <w:t>DB00773</w:t>
            </w:r>
          </w:p>
        </w:tc>
        <w:tc>
          <w:tcPr>
            <w:tcW w:type="dxa" w:w="1337"/>
            <w:tcMar>
              <w:top w:w="35" w:type="dxa"/>
              <w:bottom w:w="35" w:type="dxa"/>
              <w:left w:w="50" w:type="dxa"/>
              <w:right w:w="50" w:type="dxa"/>
            </w:tcMar>
          </w:tcPr>
          <w:p>
            <w:r>
              <w:rPr>
                <w:sz w:val="15"/>
              </w:rPr>
              <w:t>1481.0</w:t>
            </w:r>
          </w:p>
        </w:tc>
        <w:tc>
          <w:tcPr>
            <w:tcW w:type="dxa" w:w="1337"/>
            <w:tcMar>
              <w:top w:w="35" w:type="dxa"/>
              <w:bottom w:w="35" w:type="dxa"/>
              <w:left w:w="50" w:type="dxa"/>
              <w:right w:w="50" w:type="dxa"/>
            </w:tcMar>
          </w:tcPr>
          <w:p>
            <w:r>
              <w:rPr>
                <w:sz w:val="15"/>
              </w:rPr>
              <w:t>-11.81</w:t>
            </w:r>
          </w:p>
        </w:tc>
        <w:tc>
          <w:tcPr>
            <w:tcW w:type="dxa" w:w="1337"/>
            <w:tcMar>
              <w:top w:w="35" w:type="dxa"/>
              <w:bottom w:w="35" w:type="dxa"/>
              <w:left w:w="50" w:type="dxa"/>
              <w:right w:w="50" w:type="dxa"/>
            </w:tcMar>
          </w:tcPr>
          <w:p>
            <w:r>
              <w:rPr>
                <w:sz w:val="15"/>
              </w:rPr>
              <w:t>-33.92</w:t>
            </w:r>
          </w:p>
        </w:tc>
        <w:tc>
          <w:tcPr>
            <w:tcW w:type="dxa" w:w="1337"/>
            <w:tcMar>
              <w:top w:w="35" w:type="dxa"/>
              <w:bottom w:w="35" w:type="dxa"/>
              <w:left w:w="50" w:type="dxa"/>
              <w:right w:w="50" w:type="dxa"/>
            </w:tcMar>
          </w:tcPr>
          <w:p>
            <w:r>
              <w:rPr>
                <w:sz w:val="15"/>
              </w:rPr>
              <w:t>-37.07</w:t>
            </w:r>
          </w:p>
        </w:tc>
      </w:tr>
      <w:tr>
        <w:tc>
          <w:tcPr>
            <w:tcW w:type="dxa" w:w="1337"/>
            <w:tcMar>
              <w:top w:w="35" w:type="dxa"/>
              <w:bottom w:w="35" w:type="dxa"/>
              <w:left w:w="50" w:type="dxa"/>
              <w:right w:w="50" w:type="dxa"/>
            </w:tcMar>
          </w:tcPr>
          <w:p>
            <w:r>
              <w:rPr>
                <w:sz w:val="15"/>
              </w:rPr>
              <w:t>Gemcitabine</w:t>
            </w:r>
          </w:p>
        </w:tc>
        <w:tc>
          <w:tcPr>
            <w:tcW w:type="dxa" w:w="1337"/>
            <w:tcMar>
              <w:top w:w="35" w:type="dxa"/>
              <w:bottom w:w="35" w:type="dxa"/>
              <w:left w:w="50" w:type="dxa"/>
              <w:right w:w="50" w:type="dxa"/>
            </w:tcMar>
          </w:tcPr>
          <w:p>
            <w:r>
              <w:rPr>
                <w:sz w:val="15"/>
              </w:rPr>
              <w:t>Antimetabolite</w:t>
            </w:r>
          </w:p>
        </w:tc>
        <w:tc>
          <w:tcPr>
            <w:tcW w:type="dxa" w:w="1337"/>
            <w:tcMar>
              <w:top w:w="35" w:type="dxa"/>
              <w:bottom w:w="35" w:type="dxa"/>
              <w:left w:w="50" w:type="dxa"/>
              <w:right w:w="50" w:type="dxa"/>
            </w:tcMar>
          </w:tcPr>
          <w:p>
            <w:r>
              <w:rPr>
                <w:sz w:val="15"/>
              </w:rPr>
              <w:t>DB00441</w:t>
            </w:r>
          </w:p>
        </w:tc>
        <w:tc>
          <w:tcPr>
            <w:tcW w:type="dxa" w:w="1337"/>
            <w:tcMar>
              <w:top w:w="35" w:type="dxa"/>
              <w:bottom w:w="35" w:type="dxa"/>
              <w:left w:w="50" w:type="dxa"/>
              <w:right w:w="50" w:type="dxa"/>
            </w:tcMar>
          </w:tcPr>
          <w:p>
            <w:r>
              <w:rPr>
                <w:sz w:val="15"/>
              </w:rPr>
              <w:t>1155.6</w:t>
            </w:r>
          </w:p>
        </w:tc>
        <w:tc>
          <w:tcPr>
            <w:tcW w:type="dxa" w:w="1337"/>
            <w:tcMar>
              <w:top w:w="35" w:type="dxa"/>
              <w:bottom w:w="35" w:type="dxa"/>
              <w:left w:w="50" w:type="dxa"/>
              <w:right w:w="50" w:type="dxa"/>
            </w:tcMar>
          </w:tcPr>
          <w:p>
            <w:r>
              <w:rPr>
                <w:sz w:val="15"/>
              </w:rPr>
              <w:t>-8.89</w:t>
            </w:r>
          </w:p>
        </w:tc>
        <w:tc>
          <w:tcPr>
            <w:tcW w:type="dxa" w:w="1337"/>
            <w:tcMar>
              <w:top w:w="35" w:type="dxa"/>
              <w:bottom w:w="35" w:type="dxa"/>
              <w:left w:w="50" w:type="dxa"/>
              <w:right w:w="50" w:type="dxa"/>
            </w:tcMar>
          </w:tcPr>
          <w:p>
            <w:r>
              <w:rPr>
                <w:sz w:val="15"/>
              </w:rPr>
              <w:t>-23.20</w:t>
            </w:r>
          </w:p>
        </w:tc>
        <w:tc>
          <w:tcPr>
            <w:tcW w:type="dxa" w:w="1337"/>
            <w:tcMar>
              <w:top w:w="35" w:type="dxa"/>
              <w:bottom w:w="35" w:type="dxa"/>
              <w:left w:w="50" w:type="dxa"/>
              <w:right w:w="50" w:type="dxa"/>
            </w:tcMar>
          </w:tcPr>
          <w:p>
            <w:r>
              <w:rPr>
                <w:sz w:val="15"/>
              </w:rPr>
              <w:t>-26.35</w:t>
            </w:r>
          </w:p>
        </w:tc>
      </w:tr>
      <w:tr>
        <w:tc>
          <w:tcPr>
            <w:tcW w:type="dxa" w:w="1337"/>
            <w:tcMar>
              <w:top w:w="35" w:type="dxa"/>
              <w:bottom w:w="35" w:type="dxa"/>
              <w:left w:w="50" w:type="dxa"/>
              <w:right w:w="50" w:type="dxa"/>
            </w:tcMar>
          </w:tcPr>
          <w:p>
            <w:r>
              <w:rPr>
                <w:sz w:val="15"/>
              </w:rPr>
              <w:t>Capecitabine</w:t>
            </w:r>
          </w:p>
        </w:tc>
        <w:tc>
          <w:tcPr>
            <w:tcW w:type="dxa" w:w="1337"/>
            <w:tcMar>
              <w:top w:w="35" w:type="dxa"/>
              <w:bottom w:w="35" w:type="dxa"/>
              <w:left w:w="50" w:type="dxa"/>
              <w:right w:w="50" w:type="dxa"/>
            </w:tcMar>
          </w:tcPr>
          <w:p>
            <w:r>
              <w:rPr>
                <w:sz w:val="15"/>
              </w:rPr>
              <w:t>Antimetabolite</w:t>
            </w:r>
          </w:p>
        </w:tc>
        <w:tc>
          <w:tcPr>
            <w:tcW w:type="dxa" w:w="1337"/>
            <w:tcMar>
              <w:top w:w="35" w:type="dxa"/>
              <w:bottom w:w="35" w:type="dxa"/>
              <w:left w:w="50" w:type="dxa"/>
              <w:right w:w="50" w:type="dxa"/>
            </w:tcMar>
          </w:tcPr>
          <w:p>
            <w:r>
              <w:rPr>
                <w:sz w:val="15"/>
              </w:rPr>
              <w:t>DB01101</w:t>
            </w:r>
          </w:p>
        </w:tc>
        <w:tc>
          <w:tcPr>
            <w:tcW w:type="dxa" w:w="1337"/>
            <w:tcMar>
              <w:top w:w="35" w:type="dxa"/>
              <w:bottom w:w="35" w:type="dxa"/>
              <w:left w:w="50" w:type="dxa"/>
              <w:right w:w="50" w:type="dxa"/>
            </w:tcMar>
          </w:tcPr>
          <w:p>
            <w:r>
              <w:rPr>
                <w:sz w:val="15"/>
              </w:rPr>
              <w:t>1251.8</w:t>
            </w:r>
          </w:p>
        </w:tc>
        <w:tc>
          <w:tcPr>
            <w:tcW w:type="dxa" w:w="1337"/>
            <w:tcMar>
              <w:top w:w="35" w:type="dxa"/>
              <w:bottom w:w="35" w:type="dxa"/>
              <w:left w:w="50" w:type="dxa"/>
              <w:right w:w="50" w:type="dxa"/>
            </w:tcMar>
          </w:tcPr>
          <w:p>
            <w:r>
              <w:rPr>
                <w:sz w:val="15"/>
              </w:rPr>
              <w:t>-9.47</w:t>
            </w:r>
          </w:p>
        </w:tc>
        <w:tc>
          <w:tcPr>
            <w:tcW w:type="dxa" w:w="1337"/>
            <w:tcMar>
              <w:top w:w="35" w:type="dxa"/>
              <w:bottom w:w="35" w:type="dxa"/>
              <w:left w:w="50" w:type="dxa"/>
              <w:right w:w="50" w:type="dxa"/>
            </w:tcMar>
          </w:tcPr>
          <w:p>
            <w:r>
              <w:rPr>
                <w:sz w:val="15"/>
              </w:rPr>
              <w:t>-26.84</w:t>
            </w:r>
          </w:p>
        </w:tc>
        <w:tc>
          <w:tcPr>
            <w:tcW w:type="dxa" w:w="1337"/>
            <w:tcMar>
              <w:top w:w="35" w:type="dxa"/>
              <w:bottom w:w="35" w:type="dxa"/>
              <w:left w:w="50" w:type="dxa"/>
              <w:right w:w="50" w:type="dxa"/>
            </w:tcMar>
          </w:tcPr>
          <w:p>
            <w:r>
              <w:rPr>
                <w:sz w:val="15"/>
              </w:rPr>
              <w:t>-29.99</w:t>
            </w:r>
          </w:p>
        </w:tc>
      </w:tr>
      <w:tr>
        <w:tc>
          <w:tcPr>
            <w:tcW w:type="dxa" w:w="1337"/>
            <w:tcMar>
              <w:top w:w="35" w:type="dxa"/>
              <w:bottom w:w="35" w:type="dxa"/>
              <w:left w:w="50" w:type="dxa"/>
              <w:right w:w="50" w:type="dxa"/>
            </w:tcMar>
          </w:tcPr>
          <w:p>
            <w:r>
              <w:rPr>
                <w:sz w:val="15"/>
              </w:rPr>
              <w:t>Fluorouracil</w:t>
            </w:r>
          </w:p>
        </w:tc>
        <w:tc>
          <w:tcPr>
            <w:tcW w:type="dxa" w:w="1337"/>
            <w:tcMar>
              <w:top w:w="35" w:type="dxa"/>
              <w:bottom w:w="35" w:type="dxa"/>
              <w:left w:w="50" w:type="dxa"/>
              <w:right w:w="50" w:type="dxa"/>
            </w:tcMar>
          </w:tcPr>
          <w:p>
            <w:r>
              <w:rPr>
                <w:sz w:val="15"/>
              </w:rPr>
              <w:t>Antimetabolite</w:t>
            </w:r>
          </w:p>
        </w:tc>
        <w:tc>
          <w:tcPr>
            <w:tcW w:type="dxa" w:w="1337"/>
            <w:tcMar>
              <w:top w:w="35" w:type="dxa"/>
              <w:bottom w:w="35" w:type="dxa"/>
              <w:left w:w="50" w:type="dxa"/>
              <w:right w:w="50" w:type="dxa"/>
            </w:tcMar>
          </w:tcPr>
          <w:p>
            <w:r>
              <w:rPr>
                <w:sz w:val="15"/>
              </w:rPr>
              <w:t>DB00544</w:t>
            </w:r>
          </w:p>
        </w:tc>
        <w:tc>
          <w:tcPr>
            <w:tcW w:type="dxa" w:w="1337"/>
            <w:tcMar>
              <w:top w:w="35" w:type="dxa"/>
              <w:bottom w:w="35" w:type="dxa"/>
              <w:left w:w="50" w:type="dxa"/>
              <w:right w:w="50" w:type="dxa"/>
            </w:tcMar>
          </w:tcPr>
          <w:p>
            <w:r>
              <w:rPr>
                <w:sz w:val="15"/>
              </w:rPr>
              <w:t>1022.5</w:t>
            </w:r>
          </w:p>
        </w:tc>
        <w:tc>
          <w:tcPr>
            <w:tcW w:type="dxa" w:w="1337"/>
            <w:tcMar>
              <w:top w:w="35" w:type="dxa"/>
              <w:bottom w:w="35" w:type="dxa"/>
              <w:left w:w="50" w:type="dxa"/>
              <w:right w:w="50" w:type="dxa"/>
            </w:tcMar>
          </w:tcPr>
          <w:p>
            <w:r>
              <w:rPr>
                <w:sz w:val="15"/>
              </w:rPr>
              <w:t>-7.37</w:t>
            </w:r>
          </w:p>
        </w:tc>
        <w:tc>
          <w:tcPr>
            <w:tcW w:type="dxa" w:w="1337"/>
            <w:tcMar>
              <w:top w:w="35" w:type="dxa"/>
              <w:bottom w:w="35" w:type="dxa"/>
              <w:left w:w="50" w:type="dxa"/>
              <w:right w:w="50" w:type="dxa"/>
            </w:tcMar>
          </w:tcPr>
          <w:p>
            <w:r>
              <w:rPr>
                <w:sz w:val="15"/>
              </w:rPr>
              <w:t>-19.82</w:t>
            </w:r>
          </w:p>
        </w:tc>
        <w:tc>
          <w:tcPr>
            <w:tcW w:type="dxa" w:w="1337"/>
            <w:tcMar>
              <w:top w:w="35" w:type="dxa"/>
              <w:bottom w:w="35" w:type="dxa"/>
              <w:left w:w="50" w:type="dxa"/>
              <w:right w:w="50" w:type="dxa"/>
            </w:tcMar>
          </w:tcPr>
          <w:p>
            <w:r>
              <w:rPr>
                <w:sz w:val="15"/>
              </w:rPr>
              <w:t>-22.97</w:t>
            </w:r>
          </w:p>
        </w:tc>
      </w:tr>
      <w:tr>
        <w:tc>
          <w:tcPr>
            <w:tcW w:type="dxa" w:w="1337"/>
            <w:tcMar>
              <w:top w:w="35" w:type="dxa"/>
              <w:bottom w:w="35" w:type="dxa"/>
              <w:left w:w="50" w:type="dxa"/>
              <w:right w:w="50" w:type="dxa"/>
            </w:tcMar>
          </w:tcPr>
          <w:p>
            <w:r>
              <w:rPr>
                <w:sz w:val="15"/>
              </w:rPr>
              <w:t>Methotrexate</w:t>
            </w:r>
          </w:p>
        </w:tc>
        <w:tc>
          <w:tcPr>
            <w:tcW w:type="dxa" w:w="1337"/>
            <w:tcMar>
              <w:top w:w="35" w:type="dxa"/>
              <w:bottom w:w="35" w:type="dxa"/>
              <w:left w:w="50" w:type="dxa"/>
              <w:right w:w="50" w:type="dxa"/>
            </w:tcMar>
          </w:tcPr>
          <w:p>
            <w:r>
              <w:rPr>
                <w:sz w:val="15"/>
              </w:rPr>
              <w:t>Antifolate</w:t>
            </w:r>
          </w:p>
        </w:tc>
        <w:tc>
          <w:tcPr>
            <w:tcW w:type="dxa" w:w="1337"/>
            <w:tcMar>
              <w:top w:w="35" w:type="dxa"/>
              <w:bottom w:w="35" w:type="dxa"/>
              <w:left w:w="50" w:type="dxa"/>
              <w:right w:w="50" w:type="dxa"/>
            </w:tcMar>
          </w:tcPr>
          <w:p>
            <w:r>
              <w:rPr>
                <w:sz w:val="15"/>
              </w:rPr>
              <w:t>DB00563</w:t>
            </w:r>
          </w:p>
        </w:tc>
        <w:tc>
          <w:tcPr>
            <w:tcW w:type="dxa" w:w="1337"/>
            <w:tcMar>
              <w:top w:w="35" w:type="dxa"/>
              <w:bottom w:w="35" w:type="dxa"/>
              <w:left w:w="50" w:type="dxa"/>
              <w:right w:w="50" w:type="dxa"/>
            </w:tcMar>
          </w:tcPr>
          <w:p>
            <w:r>
              <w:rPr>
                <w:sz w:val="15"/>
              </w:rPr>
              <w:t>1346.8</w:t>
            </w:r>
          </w:p>
        </w:tc>
        <w:tc>
          <w:tcPr>
            <w:tcW w:type="dxa" w:w="1337"/>
            <w:tcMar>
              <w:top w:w="35" w:type="dxa"/>
              <w:bottom w:w="35" w:type="dxa"/>
              <w:left w:w="50" w:type="dxa"/>
              <w:right w:w="50" w:type="dxa"/>
            </w:tcMar>
          </w:tcPr>
          <w:p>
            <w:r>
              <w:rPr>
                <w:sz w:val="15"/>
              </w:rPr>
              <w:t>-10.83</w:t>
            </w:r>
          </w:p>
        </w:tc>
        <w:tc>
          <w:tcPr>
            <w:tcW w:type="dxa" w:w="1337"/>
            <w:tcMar>
              <w:top w:w="35" w:type="dxa"/>
              <w:bottom w:w="35" w:type="dxa"/>
              <w:left w:w="50" w:type="dxa"/>
              <w:right w:w="50" w:type="dxa"/>
            </w:tcMar>
          </w:tcPr>
          <w:p>
            <w:r>
              <w:rPr>
                <w:sz w:val="15"/>
              </w:rPr>
              <w:t>-32.79</w:t>
            </w:r>
          </w:p>
        </w:tc>
        <w:tc>
          <w:tcPr>
            <w:tcW w:type="dxa" w:w="1337"/>
            <w:tcMar>
              <w:top w:w="35" w:type="dxa"/>
              <w:bottom w:w="35" w:type="dxa"/>
              <w:left w:w="50" w:type="dxa"/>
              <w:right w:w="50" w:type="dxa"/>
            </w:tcMar>
          </w:tcPr>
          <w:p>
            <w:r>
              <w:rPr>
                <w:sz w:val="15"/>
              </w:rPr>
              <w:t>-35.94</w:t>
            </w:r>
          </w:p>
        </w:tc>
      </w:tr>
      <w:tr>
        <w:tc>
          <w:tcPr>
            <w:tcW w:type="dxa" w:w="1337"/>
            <w:tcMar>
              <w:top w:w="35" w:type="dxa"/>
              <w:bottom w:w="35" w:type="dxa"/>
              <w:left w:w="50" w:type="dxa"/>
              <w:right w:w="50" w:type="dxa"/>
            </w:tcMar>
          </w:tcPr>
          <w:p>
            <w:r>
              <w:rPr>
                <w:sz w:val="15"/>
              </w:rPr>
              <w:t>Pemetrexed</w:t>
            </w:r>
          </w:p>
        </w:tc>
        <w:tc>
          <w:tcPr>
            <w:tcW w:type="dxa" w:w="1337"/>
            <w:tcMar>
              <w:top w:w="35" w:type="dxa"/>
              <w:bottom w:w="35" w:type="dxa"/>
              <w:left w:w="50" w:type="dxa"/>
              <w:right w:w="50" w:type="dxa"/>
            </w:tcMar>
          </w:tcPr>
          <w:p>
            <w:r>
              <w:rPr>
                <w:sz w:val="15"/>
              </w:rPr>
              <w:t>Antifolate</w:t>
            </w:r>
          </w:p>
        </w:tc>
        <w:tc>
          <w:tcPr>
            <w:tcW w:type="dxa" w:w="1337"/>
            <w:tcMar>
              <w:top w:w="35" w:type="dxa"/>
              <w:bottom w:w="35" w:type="dxa"/>
              <w:left w:w="50" w:type="dxa"/>
              <w:right w:w="50" w:type="dxa"/>
            </w:tcMar>
          </w:tcPr>
          <w:p>
            <w:r>
              <w:rPr>
                <w:sz w:val="15"/>
              </w:rPr>
              <w:t>DB00643</w:t>
            </w:r>
          </w:p>
        </w:tc>
        <w:tc>
          <w:tcPr>
            <w:tcW w:type="dxa" w:w="1337"/>
            <w:tcMar>
              <w:top w:w="35" w:type="dxa"/>
              <w:bottom w:w="35" w:type="dxa"/>
              <w:left w:w="50" w:type="dxa"/>
              <w:right w:w="50" w:type="dxa"/>
            </w:tcMar>
          </w:tcPr>
          <w:p>
            <w:r>
              <w:rPr>
                <w:sz w:val="15"/>
              </w:rPr>
              <w:t>1319.8</w:t>
            </w:r>
          </w:p>
        </w:tc>
        <w:tc>
          <w:tcPr>
            <w:tcW w:type="dxa" w:w="1337"/>
            <w:tcMar>
              <w:top w:w="35" w:type="dxa"/>
              <w:bottom w:w="35" w:type="dxa"/>
              <w:left w:w="50" w:type="dxa"/>
              <w:right w:w="50" w:type="dxa"/>
            </w:tcMar>
          </w:tcPr>
          <w:p>
            <w:r>
              <w:rPr>
                <w:sz w:val="15"/>
              </w:rPr>
              <w:t>-10.88</w:t>
            </w:r>
          </w:p>
        </w:tc>
        <w:tc>
          <w:tcPr>
            <w:tcW w:type="dxa" w:w="1337"/>
            <w:tcMar>
              <w:top w:w="35" w:type="dxa"/>
              <w:bottom w:w="35" w:type="dxa"/>
              <w:left w:w="50" w:type="dxa"/>
              <w:right w:w="50" w:type="dxa"/>
            </w:tcMar>
          </w:tcPr>
          <w:p>
            <w:r>
              <w:rPr>
                <w:sz w:val="15"/>
              </w:rPr>
              <w:t>-31.83</w:t>
            </w:r>
          </w:p>
        </w:tc>
        <w:tc>
          <w:tcPr>
            <w:tcW w:type="dxa" w:w="1337"/>
            <w:tcMar>
              <w:top w:w="35" w:type="dxa"/>
              <w:bottom w:w="35" w:type="dxa"/>
              <w:left w:w="50" w:type="dxa"/>
              <w:right w:w="50" w:type="dxa"/>
            </w:tcMar>
          </w:tcPr>
          <w:p>
            <w:r>
              <w:rPr>
                <w:sz w:val="15"/>
              </w:rPr>
              <w:t>-34.98</w:t>
            </w:r>
          </w:p>
        </w:tc>
      </w:tr>
      <w:tr>
        <w:tc>
          <w:tcPr>
            <w:tcW w:type="dxa" w:w="1337"/>
            <w:tcMar>
              <w:top w:w="35" w:type="dxa"/>
              <w:bottom w:w="35" w:type="dxa"/>
              <w:left w:w="50" w:type="dxa"/>
              <w:right w:w="50" w:type="dxa"/>
            </w:tcMar>
          </w:tcPr>
          <w:p>
            <w:r>
              <w:rPr>
                <w:sz w:val="15"/>
              </w:rPr>
              <w:t>Cytarabine</w:t>
            </w:r>
          </w:p>
        </w:tc>
        <w:tc>
          <w:tcPr>
            <w:tcW w:type="dxa" w:w="1337"/>
            <w:tcMar>
              <w:top w:w="35" w:type="dxa"/>
              <w:bottom w:w="35" w:type="dxa"/>
              <w:left w:w="50" w:type="dxa"/>
              <w:right w:w="50" w:type="dxa"/>
            </w:tcMar>
          </w:tcPr>
          <w:p>
            <w:r>
              <w:rPr>
                <w:sz w:val="15"/>
              </w:rPr>
              <w:t>Antimetabolite</w:t>
            </w:r>
          </w:p>
        </w:tc>
        <w:tc>
          <w:tcPr>
            <w:tcW w:type="dxa" w:w="1337"/>
            <w:tcMar>
              <w:top w:w="35" w:type="dxa"/>
              <w:bottom w:w="35" w:type="dxa"/>
              <w:left w:w="50" w:type="dxa"/>
              <w:right w:w="50" w:type="dxa"/>
            </w:tcMar>
          </w:tcPr>
          <w:p>
            <w:r>
              <w:rPr>
                <w:sz w:val="15"/>
              </w:rPr>
              <w:t>DB00503</w:t>
            </w:r>
          </w:p>
        </w:tc>
        <w:tc>
          <w:tcPr>
            <w:tcW w:type="dxa" w:w="1337"/>
            <w:tcMar>
              <w:top w:w="35" w:type="dxa"/>
              <w:bottom w:w="35" w:type="dxa"/>
              <w:left w:w="50" w:type="dxa"/>
              <w:right w:w="50" w:type="dxa"/>
            </w:tcMar>
          </w:tcPr>
          <w:p>
            <w:r>
              <w:rPr>
                <w:sz w:val="15"/>
              </w:rPr>
              <w:t>1135.6</w:t>
            </w:r>
          </w:p>
        </w:tc>
        <w:tc>
          <w:tcPr>
            <w:tcW w:type="dxa" w:w="1337"/>
            <w:tcMar>
              <w:top w:w="35" w:type="dxa"/>
              <w:bottom w:w="35" w:type="dxa"/>
              <w:left w:w="50" w:type="dxa"/>
              <w:right w:w="50" w:type="dxa"/>
            </w:tcMar>
          </w:tcPr>
          <w:p>
            <w:r>
              <w:rPr>
                <w:sz w:val="15"/>
              </w:rPr>
              <w:t>-8.39</w:t>
            </w:r>
          </w:p>
        </w:tc>
        <w:tc>
          <w:tcPr>
            <w:tcW w:type="dxa" w:w="1337"/>
            <w:tcMar>
              <w:top w:w="35" w:type="dxa"/>
              <w:bottom w:w="35" w:type="dxa"/>
              <w:left w:w="50" w:type="dxa"/>
              <w:right w:w="50" w:type="dxa"/>
            </w:tcMar>
          </w:tcPr>
          <w:p>
            <w:r>
              <w:rPr>
                <w:sz w:val="15"/>
              </w:rPr>
              <w:t>-21.37</w:t>
            </w:r>
          </w:p>
        </w:tc>
        <w:tc>
          <w:tcPr>
            <w:tcW w:type="dxa" w:w="1337"/>
            <w:tcMar>
              <w:top w:w="35" w:type="dxa"/>
              <w:bottom w:w="35" w:type="dxa"/>
              <w:left w:w="50" w:type="dxa"/>
              <w:right w:w="50" w:type="dxa"/>
            </w:tcMar>
          </w:tcPr>
          <w:p>
            <w:r>
              <w:rPr>
                <w:sz w:val="15"/>
              </w:rPr>
              <w:t>-24.52</w:t>
            </w:r>
          </w:p>
        </w:tc>
      </w:tr>
      <w:tr>
        <w:tc>
          <w:tcPr>
            <w:tcW w:type="dxa" w:w="1337"/>
            <w:tcMar>
              <w:top w:w="35" w:type="dxa"/>
              <w:bottom w:w="35" w:type="dxa"/>
              <w:left w:w="50" w:type="dxa"/>
              <w:right w:w="50" w:type="dxa"/>
            </w:tcMar>
          </w:tcPr>
          <w:p>
            <w:r>
              <w:rPr>
                <w:sz w:val="15"/>
              </w:rPr>
              <w:t>Vinorelbine</w:t>
            </w:r>
          </w:p>
        </w:tc>
        <w:tc>
          <w:tcPr>
            <w:tcW w:type="dxa" w:w="1337"/>
            <w:tcMar>
              <w:top w:w="35" w:type="dxa"/>
              <w:bottom w:w="35" w:type="dxa"/>
              <w:left w:w="50" w:type="dxa"/>
              <w:right w:w="50" w:type="dxa"/>
            </w:tcMar>
          </w:tcPr>
          <w:p>
            <w:r>
              <w:rPr>
                <w:sz w:val="15"/>
              </w:rPr>
              <w:t>Vinca Alkaloid</w:t>
            </w:r>
          </w:p>
        </w:tc>
        <w:tc>
          <w:tcPr>
            <w:tcW w:type="dxa" w:w="1337"/>
            <w:tcMar>
              <w:top w:w="35" w:type="dxa"/>
              <w:bottom w:w="35" w:type="dxa"/>
              <w:left w:w="50" w:type="dxa"/>
              <w:right w:w="50" w:type="dxa"/>
            </w:tcMar>
          </w:tcPr>
          <w:p>
            <w:r>
              <w:rPr>
                <w:sz w:val="15"/>
              </w:rPr>
              <w:t>DB00361</w:t>
            </w:r>
          </w:p>
        </w:tc>
        <w:tc>
          <w:tcPr>
            <w:tcW w:type="dxa" w:w="1337"/>
            <w:tcMar>
              <w:top w:w="35" w:type="dxa"/>
              <w:bottom w:w="35" w:type="dxa"/>
              <w:left w:w="50" w:type="dxa"/>
              <w:right w:w="50" w:type="dxa"/>
            </w:tcMar>
          </w:tcPr>
          <w:p>
            <w:r>
              <w:rPr>
                <w:sz w:val="15"/>
              </w:rPr>
              <w:t>1496.2</w:t>
            </w:r>
          </w:p>
        </w:tc>
        <w:tc>
          <w:tcPr>
            <w:tcW w:type="dxa" w:w="1337"/>
            <w:tcMar>
              <w:top w:w="35" w:type="dxa"/>
              <w:bottom w:w="35" w:type="dxa"/>
              <w:left w:w="50" w:type="dxa"/>
              <w:right w:w="50" w:type="dxa"/>
            </w:tcMar>
          </w:tcPr>
          <w:p>
            <w:r>
              <w:rPr>
                <w:sz w:val="15"/>
              </w:rPr>
              <w:t>-9.13</w:t>
            </w:r>
          </w:p>
        </w:tc>
        <w:tc>
          <w:tcPr>
            <w:tcW w:type="dxa" w:w="1337"/>
            <w:tcMar>
              <w:top w:w="35" w:type="dxa"/>
              <w:bottom w:w="35" w:type="dxa"/>
              <w:left w:w="50" w:type="dxa"/>
              <w:right w:w="50" w:type="dxa"/>
            </w:tcMar>
          </w:tcPr>
          <w:p>
            <w:r>
              <w:rPr>
                <w:sz w:val="15"/>
              </w:rPr>
              <w:t>-37.22</w:t>
            </w:r>
          </w:p>
        </w:tc>
        <w:tc>
          <w:tcPr>
            <w:tcW w:type="dxa" w:w="1337"/>
            <w:tcMar>
              <w:top w:w="35" w:type="dxa"/>
              <w:bottom w:w="35" w:type="dxa"/>
              <w:left w:w="50" w:type="dxa"/>
              <w:right w:w="50" w:type="dxa"/>
            </w:tcMar>
          </w:tcPr>
          <w:p>
            <w:r>
              <w:rPr>
                <w:sz w:val="15"/>
              </w:rPr>
              <w:t>-40.37</w:t>
            </w:r>
          </w:p>
        </w:tc>
      </w:tr>
      <w:tr>
        <w:tc>
          <w:tcPr>
            <w:tcW w:type="dxa" w:w="1337"/>
            <w:tcMar>
              <w:top w:w="35" w:type="dxa"/>
              <w:bottom w:w="35" w:type="dxa"/>
              <w:left w:w="50" w:type="dxa"/>
              <w:right w:w="50" w:type="dxa"/>
            </w:tcMar>
          </w:tcPr>
          <w:p>
            <w:r>
              <w:rPr>
                <w:sz w:val="15"/>
              </w:rPr>
              <w:t>Ixabepilone</w:t>
            </w:r>
          </w:p>
        </w:tc>
        <w:tc>
          <w:tcPr>
            <w:tcW w:type="dxa" w:w="1337"/>
            <w:tcMar>
              <w:top w:w="35" w:type="dxa"/>
              <w:bottom w:w="35" w:type="dxa"/>
              <w:left w:w="50" w:type="dxa"/>
              <w:right w:w="50" w:type="dxa"/>
            </w:tcMar>
          </w:tcPr>
          <w:p>
            <w:r>
              <w:rPr>
                <w:sz w:val="15"/>
              </w:rPr>
              <w:t>Epothilone</w:t>
            </w:r>
          </w:p>
        </w:tc>
        <w:tc>
          <w:tcPr>
            <w:tcW w:type="dxa" w:w="1337"/>
            <w:tcMar>
              <w:top w:w="35" w:type="dxa"/>
              <w:bottom w:w="35" w:type="dxa"/>
              <w:left w:w="50" w:type="dxa"/>
              <w:right w:w="50" w:type="dxa"/>
            </w:tcMar>
          </w:tcPr>
          <w:p>
            <w:r>
              <w:rPr>
                <w:sz w:val="15"/>
              </w:rPr>
              <w:t>DB04845</w:t>
            </w:r>
          </w:p>
        </w:tc>
        <w:tc>
          <w:tcPr>
            <w:tcW w:type="dxa" w:w="1337"/>
            <w:tcMar>
              <w:top w:w="35" w:type="dxa"/>
              <w:bottom w:w="35" w:type="dxa"/>
              <w:left w:w="50" w:type="dxa"/>
              <w:right w:w="50" w:type="dxa"/>
            </w:tcMar>
          </w:tcPr>
          <w:p>
            <w:r>
              <w:rPr>
                <w:sz w:val="15"/>
              </w:rPr>
              <w:t>1343.1</w:t>
            </w:r>
          </w:p>
        </w:tc>
        <w:tc>
          <w:tcPr>
            <w:tcW w:type="dxa" w:w="1337"/>
            <w:tcMar>
              <w:top w:w="35" w:type="dxa"/>
              <w:bottom w:w="35" w:type="dxa"/>
              <w:left w:w="50" w:type="dxa"/>
              <w:right w:w="50" w:type="dxa"/>
            </w:tcMar>
          </w:tcPr>
          <w:p>
            <w:r>
              <w:rPr>
                <w:sz w:val="15"/>
              </w:rPr>
              <w:t>-7.75</w:t>
            </w:r>
          </w:p>
        </w:tc>
        <w:tc>
          <w:tcPr>
            <w:tcW w:type="dxa" w:w="1337"/>
            <w:tcMar>
              <w:top w:w="35" w:type="dxa"/>
              <w:bottom w:w="35" w:type="dxa"/>
              <w:left w:w="50" w:type="dxa"/>
              <w:right w:w="50" w:type="dxa"/>
            </w:tcMar>
          </w:tcPr>
          <w:p>
            <w:r>
              <w:rPr>
                <w:sz w:val="15"/>
              </w:rPr>
              <w:t>-29.98</w:t>
            </w:r>
          </w:p>
        </w:tc>
        <w:tc>
          <w:tcPr>
            <w:tcW w:type="dxa" w:w="1337"/>
            <w:tcMar>
              <w:top w:w="35" w:type="dxa"/>
              <w:bottom w:w="35" w:type="dxa"/>
              <w:left w:w="50" w:type="dxa"/>
              <w:right w:w="50" w:type="dxa"/>
            </w:tcMar>
          </w:tcPr>
          <w:p>
            <w:r>
              <w:rPr>
                <w:sz w:val="15"/>
              </w:rPr>
              <w:t>-33.13</w:t>
            </w:r>
          </w:p>
        </w:tc>
      </w:tr>
      <w:tr>
        <w:tc>
          <w:tcPr>
            <w:tcW w:type="dxa" w:w="1337"/>
            <w:tcMar>
              <w:top w:w="35" w:type="dxa"/>
              <w:bottom w:w="35" w:type="dxa"/>
              <w:left w:w="50" w:type="dxa"/>
              <w:right w:w="50" w:type="dxa"/>
            </w:tcMar>
          </w:tcPr>
          <w:p>
            <w:r>
              <w:rPr>
                <w:sz w:val="15"/>
              </w:rPr>
              <w:t>Eribulin</w:t>
            </w:r>
          </w:p>
        </w:tc>
        <w:tc>
          <w:tcPr>
            <w:tcW w:type="dxa" w:w="1337"/>
            <w:tcMar>
              <w:top w:w="35" w:type="dxa"/>
              <w:bottom w:w="35" w:type="dxa"/>
              <w:left w:w="50" w:type="dxa"/>
              <w:right w:w="50" w:type="dxa"/>
            </w:tcMar>
          </w:tcPr>
          <w:p>
            <w:r>
              <w:rPr>
                <w:sz w:val="15"/>
              </w:rPr>
              <w:t>Halichondrin B Analog</w:t>
            </w:r>
          </w:p>
        </w:tc>
        <w:tc>
          <w:tcPr>
            <w:tcW w:type="dxa" w:w="1337"/>
            <w:tcMar>
              <w:top w:w="35" w:type="dxa"/>
              <w:bottom w:w="35" w:type="dxa"/>
              <w:left w:w="50" w:type="dxa"/>
              <w:right w:w="50" w:type="dxa"/>
            </w:tcMar>
          </w:tcPr>
          <w:p>
            <w:r>
              <w:rPr>
                <w:sz w:val="15"/>
              </w:rPr>
              <w:t>DB08871</w:t>
            </w:r>
          </w:p>
        </w:tc>
        <w:tc>
          <w:tcPr>
            <w:tcW w:type="dxa" w:w="1337"/>
            <w:tcMar>
              <w:top w:w="35" w:type="dxa"/>
              <w:bottom w:w="35" w:type="dxa"/>
              <w:left w:w="50" w:type="dxa"/>
              <w:right w:w="50" w:type="dxa"/>
            </w:tcMar>
          </w:tcPr>
          <w:p>
            <w:r>
              <w:rPr>
                <w:sz w:val="15"/>
              </w:rPr>
              <w:t>1405.0</w:t>
            </w:r>
          </w:p>
        </w:tc>
        <w:tc>
          <w:tcPr>
            <w:tcW w:type="dxa" w:w="1337"/>
            <w:tcMar>
              <w:top w:w="35" w:type="dxa"/>
              <w:bottom w:w="35" w:type="dxa"/>
              <w:left w:w="50" w:type="dxa"/>
              <w:right w:w="50" w:type="dxa"/>
            </w:tcMar>
          </w:tcPr>
          <w:p>
            <w:r>
              <w:rPr>
                <w:sz w:val="15"/>
              </w:rPr>
              <w:t>-11.51</w:t>
            </w:r>
          </w:p>
        </w:tc>
        <w:tc>
          <w:tcPr>
            <w:tcW w:type="dxa" w:w="1337"/>
            <w:tcMar>
              <w:top w:w="35" w:type="dxa"/>
              <w:bottom w:w="35" w:type="dxa"/>
              <w:left w:w="50" w:type="dxa"/>
              <w:right w:w="50" w:type="dxa"/>
            </w:tcMar>
          </w:tcPr>
          <w:p>
            <w:r>
              <w:rPr>
                <w:sz w:val="15"/>
              </w:rPr>
              <w:t>-28.38</w:t>
            </w:r>
          </w:p>
        </w:tc>
        <w:tc>
          <w:tcPr>
            <w:tcW w:type="dxa" w:w="1337"/>
            <w:tcMar>
              <w:top w:w="35" w:type="dxa"/>
              <w:bottom w:w="35" w:type="dxa"/>
              <w:left w:w="50" w:type="dxa"/>
              <w:right w:w="50" w:type="dxa"/>
            </w:tcMar>
          </w:tcPr>
          <w:p>
            <w:r>
              <w:rPr>
                <w:sz w:val="15"/>
              </w:rPr>
              <w:t>-31.53</w:t>
            </w:r>
          </w:p>
        </w:tc>
      </w:tr>
      <w:tr>
        <w:tc>
          <w:tcPr>
            <w:tcW w:type="dxa" w:w="1337"/>
            <w:tcMar>
              <w:top w:w="35" w:type="dxa"/>
              <w:bottom w:w="35" w:type="dxa"/>
              <w:left w:w="50" w:type="dxa"/>
              <w:right w:w="50" w:type="dxa"/>
            </w:tcMar>
          </w:tcPr>
          <w:p>
            <w:r>
              <w:rPr>
                <w:sz w:val="15"/>
              </w:rPr>
              <w:t>Lapatinib</w:t>
            </w:r>
          </w:p>
        </w:tc>
        <w:tc>
          <w:tcPr>
            <w:tcW w:type="dxa" w:w="1337"/>
            <w:tcMar>
              <w:top w:w="35" w:type="dxa"/>
              <w:bottom w:w="35" w:type="dxa"/>
              <w:left w:w="50" w:type="dxa"/>
              <w:right w:w="50" w:type="dxa"/>
            </w:tcMar>
          </w:tcPr>
          <w:p>
            <w:r>
              <w:rPr>
                <w:sz w:val="15"/>
              </w:rPr>
              <w:t>EGFR/HER2 Inhibitor</w:t>
            </w:r>
          </w:p>
        </w:tc>
        <w:tc>
          <w:tcPr>
            <w:tcW w:type="dxa" w:w="1337"/>
            <w:tcMar>
              <w:top w:w="35" w:type="dxa"/>
              <w:bottom w:w="35" w:type="dxa"/>
              <w:left w:w="50" w:type="dxa"/>
              <w:right w:w="50" w:type="dxa"/>
            </w:tcMar>
          </w:tcPr>
          <w:p>
            <w:r>
              <w:rPr>
                <w:sz w:val="15"/>
              </w:rPr>
              <w:t>DB01259</w:t>
            </w:r>
          </w:p>
        </w:tc>
        <w:tc>
          <w:tcPr>
            <w:tcW w:type="dxa" w:w="1337"/>
            <w:tcMar>
              <w:top w:w="35" w:type="dxa"/>
              <w:bottom w:w="35" w:type="dxa"/>
              <w:left w:w="50" w:type="dxa"/>
              <w:right w:w="50" w:type="dxa"/>
            </w:tcMar>
          </w:tcPr>
          <w:p>
            <w:r>
              <w:rPr>
                <w:sz w:val="15"/>
              </w:rPr>
              <w:t>1473.5</w:t>
            </w:r>
          </w:p>
        </w:tc>
        <w:tc>
          <w:tcPr>
            <w:tcW w:type="dxa" w:w="1337"/>
            <w:tcMar>
              <w:top w:w="35" w:type="dxa"/>
              <w:bottom w:w="35" w:type="dxa"/>
              <w:left w:w="50" w:type="dxa"/>
              <w:right w:w="50" w:type="dxa"/>
            </w:tcMar>
          </w:tcPr>
          <w:p>
            <w:r>
              <w:rPr>
                <w:sz w:val="15"/>
              </w:rPr>
              <w:t>-13.23</w:t>
            </w:r>
          </w:p>
        </w:tc>
        <w:tc>
          <w:tcPr>
            <w:tcW w:type="dxa" w:w="1337"/>
            <w:tcMar>
              <w:top w:w="35" w:type="dxa"/>
              <w:bottom w:w="35" w:type="dxa"/>
              <w:left w:w="50" w:type="dxa"/>
              <w:right w:w="50" w:type="dxa"/>
            </w:tcMar>
          </w:tcPr>
          <w:p>
            <w:r>
              <w:rPr>
                <w:sz w:val="15"/>
              </w:rPr>
              <w:t>-42.38</w:t>
            </w:r>
          </w:p>
        </w:tc>
        <w:tc>
          <w:tcPr>
            <w:tcW w:type="dxa" w:w="1337"/>
            <w:tcMar>
              <w:top w:w="35" w:type="dxa"/>
              <w:bottom w:w="35" w:type="dxa"/>
              <w:left w:w="50" w:type="dxa"/>
              <w:right w:w="50" w:type="dxa"/>
            </w:tcMar>
          </w:tcPr>
          <w:p>
            <w:r>
              <w:rPr>
                <w:sz w:val="15"/>
              </w:rPr>
              <w:t>-45.53</w:t>
            </w:r>
          </w:p>
        </w:tc>
      </w:tr>
      <w:tr>
        <w:tc>
          <w:tcPr>
            <w:tcW w:type="dxa" w:w="1337"/>
            <w:tcMar>
              <w:top w:w="35" w:type="dxa"/>
              <w:bottom w:w="35" w:type="dxa"/>
              <w:left w:w="50" w:type="dxa"/>
              <w:right w:w="50" w:type="dxa"/>
            </w:tcMar>
          </w:tcPr>
          <w:p>
            <w:r>
              <w:rPr>
                <w:sz w:val="15"/>
              </w:rPr>
              <w:t>Gefitinib</w:t>
            </w:r>
          </w:p>
        </w:tc>
        <w:tc>
          <w:tcPr>
            <w:tcW w:type="dxa" w:w="1337"/>
            <w:tcMar>
              <w:top w:w="35" w:type="dxa"/>
              <w:bottom w:w="35" w:type="dxa"/>
              <w:left w:w="50" w:type="dxa"/>
              <w:right w:w="50" w:type="dxa"/>
            </w:tcMar>
          </w:tcPr>
          <w:p>
            <w:r>
              <w:rPr>
                <w:sz w:val="15"/>
              </w:rPr>
              <w:t>EGFR Inhibitor</w:t>
            </w:r>
          </w:p>
        </w:tc>
        <w:tc>
          <w:tcPr>
            <w:tcW w:type="dxa" w:w="1337"/>
            <w:tcMar>
              <w:top w:w="35" w:type="dxa"/>
              <w:bottom w:w="35" w:type="dxa"/>
              <w:left w:w="50" w:type="dxa"/>
              <w:right w:w="50" w:type="dxa"/>
            </w:tcMar>
          </w:tcPr>
          <w:p>
            <w:r>
              <w:rPr>
                <w:sz w:val="15"/>
              </w:rPr>
              <w:t>DB00317</w:t>
            </w:r>
          </w:p>
        </w:tc>
        <w:tc>
          <w:tcPr>
            <w:tcW w:type="dxa" w:w="1337"/>
            <w:tcMar>
              <w:top w:w="35" w:type="dxa"/>
              <w:bottom w:w="35" w:type="dxa"/>
              <w:left w:w="50" w:type="dxa"/>
              <w:right w:w="50" w:type="dxa"/>
            </w:tcMar>
          </w:tcPr>
          <w:p>
            <w:r>
              <w:rPr>
                <w:sz w:val="15"/>
              </w:rPr>
              <w:t>1339.3</w:t>
            </w:r>
          </w:p>
        </w:tc>
        <w:tc>
          <w:tcPr>
            <w:tcW w:type="dxa" w:w="1337"/>
            <w:tcMar>
              <w:top w:w="35" w:type="dxa"/>
              <w:bottom w:w="35" w:type="dxa"/>
              <w:left w:w="50" w:type="dxa"/>
              <w:right w:w="50" w:type="dxa"/>
            </w:tcMar>
          </w:tcPr>
          <w:p>
            <w:r>
              <w:rPr>
                <w:sz w:val="15"/>
              </w:rPr>
              <w:t>-10.82</w:t>
            </w:r>
          </w:p>
        </w:tc>
        <w:tc>
          <w:tcPr>
            <w:tcW w:type="dxa" w:w="1337"/>
            <w:tcMar>
              <w:top w:w="35" w:type="dxa"/>
              <w:bottom w:w="35" w:type="dxa"/>
              <w:left w:w="50" w:type="dxa"/>
              <w:right w:w="50" w:type="dxa"/>
            </w:tcMar>
          </w:tcPr>
          <w:p>
            <w:r>
              <w:rPr>
                <w:sz w:val="15"/>
              </w:rPr>
              <w:t>-34.29</w:t>
            </w:r>
          </w:p>
        </w:tc>
        <w:tc>
          <w:tcPr>
            <w:tcW w:type="dxa" w:w="1337"/>
            <w:tcMar>
              <w:top w:w="35" w:type="dxa"/>
              <w:bottom w:w="35" w:type="dxa"/>
              <w:left w:w="50" w:type="dxa"/>
              <w:right w:w="50" w:type="dxa"/>
            </w:tcMar>
          </w:tcPr>
          <w:p>
            <w:r>
              <w:rPr>
                <w:sz w:val="15"/>
              </w:rPr>
              <w:t>-37.44</w:t>
            </w:r>
          </w:p>
        </w:tc>
      </w:tr>
      <w:tr>
        <w:tc>
          <w:tcPr>
            <w:tcW w:type="dxa" w:w="1337"/>
            <w:tcMar>
              <w:top w:w="35" w:type="dxa"/>
              <w:bottom w:w="35" w:type="dxa"/>
              <w:left w:w="50" w:type="dxa"/>
              <w:right w:w="50" w:type="dxa"/>
            </w:tcMar>
          </w:tcPr>
          <w:p>
            <w:r>
              <w:rPr>
                <w:sz w:val="15"/>
              </w:rPr>
              <w:t>Erlotinib</w:t>
            </w:r>
          </w:p>
        </w:tc>
        <w:tc>
          <w:tcPr>
            <w:tcW w:type="dxa" w:w="1337"/>
            <w:tcMar>
              <w:top w:w="35" w:type="dxa"/>
              <w:bottom w:w="35" w:type="dxa"/>
              <w:left w:w="50" w:type="dxa"/>
              <w:right w:w="50" w:type="dxa"/>
            </w:tcMar>
          </w:tcPr>
          <w:p>
            <w:r>
              <w:rPr>
                <w:sz w:val="15"/>
              </w:rPr>
              <w:t>EGFR Inhibitor</w:t>
            </w:r>
          </w:p>
        </w:tc>
        <w:tc>
          <w:tcPr>
            <w:tcW w:type="dxa" w:w="1337"/>
            <w:tcMar>
              <w:top w:w="35" w:type="dxa"/>
              <w:bottom w:w="35" w:type="dxa"/>
              <w:left w:w="50" w:type="dxa"/>
              <w:right w:w="50" w:type="dxa"/>
            </w:tcMar>
          </w:tcPr>
          <w:p>
            <w:r>
              <w:rPr>
                <w:sz w:val="15"/>
              </w:rPr>
              <w:t>DB00530</w:t>
            </w:r>
          </w:p>
        </w:tc>
        <w:tc>
          <w:tcPr>
            <w:tcW w:type="dxa" w:w="1337"/>
            <w:tcMar>
              <w:top w:w="35" w:type="dxa"/>
              <w:bottom w:w="35" w:type="dxa"/>
              <w:left w:w="50" w:type="dxa"/>
              <w:right w:w="50" w:type="dxa"/>
            </w:tcMar>
          </w:tcPr>
          <w:p>
            <w:r>
              <w:rPr>
                <w:sz w:val="15"/>
              </w:rPr>
              <w:t>1285.8</w:t>
            </w:r>
          </w:p>
        </w:tc>
        <w:tc>
          <w:tcPr>
            <w:tcW w:type="dxa" w:w="1337"/>
            <w:tcMar>
              <w:top w:w="35" w:type="dxa"/>
              <w:bottom w:w="35" w:type="dxa"/>
              <w:left w:w="50" w:type="dxa"/>
              <w:right w:w="50" w:type="dxa"/>
            </w:tcMar>
          </w:tcPr>
          <w:p>
            <w:r>
              <w:rPr>
                <w:sz w:val="15"/>
              </w:rPr>
              <w:t>-10.27</w:t>
            </w:r>
          </w:p>
        </w:tc>
        <w:tc>
          <w:tcPr>
            <w:tcW w:type="dxa" w:w="1337"/>
            <w:tcMar>
              <w:top w:w="35" w:type="dxa"/>
              <w:bottom w:w="35" w:type="dxa"/>
              <w:left w:w="50" w:type="dxa"/>
              <w:right w:w="50" w:type="dxa"/>
            </w:tcMar>
          </w:tcPr>
          <w:p>
            <w:r>
              <w:rPr>
                <w:sz w:val="15"/>
              </w:rPr>
              <w:t>-31.85</w:t>
            </w:r>
          </w:p>
        </w:tc>
        <w:tc>
          <w:tcPr>
            <w:tcW w:type="dxa" w:w="1337"/>
            <w:tcMar>
              <w:top w:w="35" w:type="dxa"/>
              <w:bottom w:w="35" w:type="dxa"/>
              <w:left w:w="50" w:type="dxa"/>
              <w:right w:w="50" w:type="dxa"/>
            </w:tcMar>
          </w:tcPr>
          <w:p>
            <w:r>
              <w:rPr>
                <w:sz w:val="15"/>
              </w:rPr>
              <w:t>-35.00</w:t>
            </w:r>
          </w:p>
        </w:tc>
      </w:tr>
      <w:tr>
        <w:tc>
          <w:tcPr>
            <w:tcW w:type="dxa" w:w="1337"/>
            <w:tcMar>
              <w:top w:w="35" w:type="dxa"/>
              <w:bottom w:w="35" w:type="dxa"/>
              <w:left w:w="50" w:type="dxa"/>
              <w:right w:w="50" w:type="dxa"/>
            </w:tcMar>
          </w:tcPr>
          <w:p>
            <w:r>
              <w:rPr>
                <w:sz w:val="15"/>
              </w:rPr>
              <w:t>Afatinib</w:t>
            </w:r>
          </w:p>
        </w:tc>
        <w:tc>
          <w:tcPr>
            <w:tcW w:type="dxa" w:w="1337"/>
            <w:tcMar>
              <w:top w:w="35" w:type="dxa"/>
              <w:bottom w:w="35" w:type="dxa"/>
              <w:left w:w="50" w:type="dxa"/>
              <w:right w:w="50" w:type="dxa"/>
            </w:tcMar>
          </w:tcPr>
          <w:p>
            <w:r>
              <w:rPr>
                <w:sz w:val="15"/>
              </w:rPr>
              <w:t>EGFR Inhibitor</w:t>
            </w:r>
          </w:p>
        </w:tc>
        <w:tc>
          <w:tcPr>
            <w:tcW w:type="dxa" w:w="1337"/>
            <w:tcMar>
              <w:top w:w="35" w:type="dxa"/>
              <w:bottom w:w="35" w:type="dxa"/>
              <w:left w:w="50" w:type="dxa"/>
              <w:right w:w="50" w:type="dxa"/>
            </w:tcMar>
          </w:tcPr>
          <w:p>
            <w:r>
              <w:rPr>
                <w:sz w:val="15"/>
              </w:rPr>
              <w:t>DB08907</w:t>
            </w:r>
          </w:p>
        </w:tc>
        <w:tc>
          <w:tcPr>
            <w:tcW w:type="dxa" w:w="1337"/>
            <w:tcMar>
              <w:top w:w="35" w:type="dxa"/>
              <w:bottom w:w="35" w:type="dxa"/>
              <w:left w:w="50" w:type="dxa"/>
              <w:right w:w="50" w:type="dxa"/>
            </w:tcMar>
          </w:tcPr>
          <w:p>
            <w:r>
              <w:rPr>
                <w:sz w:val="15"/>
              </w:rPr>
              <w:t>1378.3</w:t>
            </w:r>
          </w:p>
        </w:tc>
        <w:tc>
          <w:tcPr>
            <w:tcW w:type="dxa" w:w="1337"/>
            <w:tcMar>
              <w:top w:w="35" w:type="dxa"/>
              <w:bottom w:w="35" w:type="dxa"/>
              <w:left w:w="50" w:type="dxa"/>
              <w:right w:w="50" w:type="dxa"/>
            </w:tcMar>
          </w:tcPr>
          <w:p>
            <w:r>
              <w:rPr>
                <w:sz w:val="15"/>
              </w:rPr>
              <w:t>-11.33</w:t>
            </w:r>
          </w:p>
        </w:tc>
        <w:tc>
          <w:tcPr>
            <w:tcW w:type="dxa" w:w="1337"/>
            <w:tcMar>
              <w:top w:w="35" w:type="dxa"/>
              <w:bottom w:w="35" w:type="dxa"/>
              <w:left w:w="50" w:type="dxa"/>
              <w:right w:w="50" w:type="dxa"/>
            </w:tcMar>
          </w:tcPr>
          <w:p>
            <w:r>
              <w:rPr>
                <w:sz w:val="15"/>
              </w:rPr>
              <w:t>-35.42</w:t>
            </w:r>
          </w:p>
        </w:tc>
        <w:tc>
          <w:tcPr>
            <w:tcW w:type="dxa" w:w="1337"/>
            <w:tcMar>
              <w:top w:w="35" w:type="dxa"/>
              <w:bottom w:w="35" w:type="dxa"/>
              <w:left w:w="50" w:type="dxa"/>
              <w:right w:w="50" w:type="dxa"/>
            </w:tcMar>
          </w:tcPr>
          <w:p>
            <w:r>
              <w:rPr>
                <w:sz w:val="15"/>
              </w:rPr>
              <w:t>-38.57</w:t>
            </w:r>
          </w:p>
        </w:tc>
      </w:tr>
      <w:tr>
        <w:tc>
          <w:tcPr>
            <w:tcW w:type="dxa" w:w="1337"/>
            <w:tcMar>
              <w:top w:w="35" w:type="dxa"/>
              <w:bottom w:w="35" w:type="dxa"/>
              <w:left w:w="50" w:type="dxa"/>
              <w:right w:w="50" w:type="dxa"/>
            </w:tcMar>
          </w:tcPr>
          <w:p>
            <w:r>
              <w:rPr>
                <w:sz w:val="15"/>
              </w:rPr>
              <w:t>Bemcentinib</w:t>
            </w:r>
          </w:p>
        </w:tc>
        <w:tc>
          <w:tcPr>
            <w:tcW w:type="dxa" w:w="1337"/>
            <w:tcMar>
              <w:top w:w="35" w:type="dxa"/>
              <w:bottom w:w="35" w:type="dxa"/>
              <w:left w:w="50" w:type="dxa"/>
              <w:right w:w="50" w:type="dxa"/>
            </w:tcMar>
          </w:tcPr>
          <w:p>
            <w:r>
              <w:rPr>
                <w:sz w:val="15"/>
              </w:rPr>
              <w:t>AXL Kinase Inhibitor</w:t>
            </w:r>
          </w:p>
        </w:tc>
        <w:tc>
          <w:tcPr>
            <w:tcW w:type="dxa" w:w="1337"/>
            <w:tcMar>
              <w:top w:w="35" w:type="dxa"/>
              <w:bottom w:w="35" w:type="dxa"/>
              <w:left w:w="50" w:type="dxa"/>
              <w:right w:w="50" w:type="dxa"/>
            </w:tcMar>
          </w:tcPr>
          <w:p>
            <w:r>
              <w:rPr>
                <w:sz w:val="15"/>
              </w:rPr>
              <w:t>DB12411</w:t>
            </w:r>
          </w:p>
        </w:tc>
        <w:tc>
          <w:tcPr>
            <w:tcW w:type="dxa" w:w="1337"/>
            <w:tcMar>
              <w:top w:w="35" w:type="dxa"/>
              <w:bottom w:w="35" w:type="dxa"/>
              <w:left w:w="50" w:type="dxa"/>
              <w:right w:w="50" w:type="dxa"/>
            </w:tcMar>
          </w:tcPr>
          <w:p>
            <w:r>
              <w:rPr>
                <w:sz w:val="15"/>
              </w:rPr>
              <w:t>1364.0</w:t>
            </w:r>
          </w:p>
        </w:tc>
        <w:tc>
          <w:tcPr>
            <w:tcW w:type="dxa" w:w="1337"/>
            <w:tcMar>
              <w:top w:w="35" w:type="dxa"/>
              <w:bottom w:w="35" w:type="dxa"/>
              <w:left w:w="50" w:type="dxa"/>
              <w:right w:w="50" w:type="dxa"/>
            </w:tcMar>
          </w:tcPr>
          <w:p>
            <w:r>
              <w:rPr>
                <w:sz w:val="15"/>
              </w:rPr>
              <w:t>-13.08</w:t>
            </w:r>
          </w:p>
        </w:tc>
        <w:tc>
          <w:tcPr>
            <w:tcW w:type="dxa" w:w="1337"/>
            <w:tcMar>
              <w:top w:w="35" w:type="dxa"/>
              <w:bottom w:w="35" w:type="dxa"/>
              <w:left w:w="50" w:type="dxa"/>
              <w:right w:w="50" w:type="dxa"/>
            </w:tcMar>
          </w:tcPr>
          <w:p>
            <w:r>
              <w:rPr>
                <w:sz w:val="15"/>
              </w:rPr>
              <w:t>-38.50</w:t>
            </w:r>
          </w:p>
        </w:tc>
        <w:tc>
          <w:tcPr>
            <w:tcW w:type="dxa" w:w="1337"/>
            <w:tcMar>
              <w:top w:w="35" w:type="dxa"/>
              <w:bottom w:w="35" w:type="dxa"/>
              <w:left w:w="50" w:type="dxa"/>
              <w:right w:w="50" w:type="dxa"/>
            </w:tcMar>
          </w:tcPr>
          <w:p>
            <w:r>
              <w:rPr>
                <w:sz w:val="15"/>
              </w:rPr>
              <w:t>-41.65</w:t>
            </w:r>
          </w:p>
        </w:tc>
      </w:tr>
      <w:tr>
        <w:tc>
          <w:tcPr>
            <w:tcW w:type="dxa" w:w="1337"/>
            <w:tcMar>
              <w:top w:w="35" w:type="dxa"/>
              <w:bottom w:w="35" w:type="dxa"/>
              <w:left w:w="50" w:type="dxa"/>
              <w:right w:w="50" w:type="dxa"/>
            </w:tcMar>
          </w:tcPr>
          <w:p>
            <w:r>
              <w:rPr>
                <w:sz w:val="15"/>
              </w:rPr>
              <w:t>Alpelisib</w:t>
            </w:r>
          </w:p>
        </w:tc>
        <w:tc>
          <w:tcPr>
            <w:tcW w:type="dxa" w:w="1337"/>
            <w:tcMar>
              <w:top w:w="35" w:type="dxa"/>
              <w:bottom w:w="35" w:type="dxa"/>
              <w:left w:w="50" w:type="dxa"/>
              <w:right w:w="50" w:type="dxa"/>
            </w:tcMar>
          </w:tcPr>
          <w:p>
            <w:r>
              <w:rPr>
                <w:sz w:val="15"/>
              </w:rPr>
              <w:t>PI3Kalpha Inhibitor</w:t>
            </w:r>
          </w:p>
        </w:tc>
        <w:tc>
          <w:tcPr>
            <w:tcW w:type="dxa" w:w="1337"/>
            <w:tcMar>
              <w:top w:w="35" w:type="dxa"/>
              <w:bottom w:w="35" w:type="dxa"/>
              <w:left w:w="50" w:type="dxa"/>
              <w:right w:w="50" w:type="dxa"/>
            </w:tcMar>
          </w:tcPr>
          <w:p>
            <w:r>
              <w:rPr>
                <w:sz w:val="15"/>
              </w:rPr>
              <w:t>DB12001</w:t>
            </w:r>
          </w:p>
        </w:tc>
        <w:tc>
          <w:tcPr>
            <w:tcW w:type="dxa" w:w="1337"/>
            <w:tcMar>
              <w:top w:w="35" w:type="dxa"/>
              <w:bottom w:w="35" w:type="dxa"/>
              <w:left w:w="50" w:type="dxa"/>
              <w:right w:w="50" w:type="dxa"/>
            </w:tcMar>
          </w:tcPr>
          <w:p>
            <w:r>
              <w:rPr>
                <w:sz w:val="15"/>
              </w:rPr>
              <w:t>1372.0</w:t>
            </w:r>
          </w:p>
        </w:tc>
        <w:tc>
          <w:tcPr>
            <w:tcW w:type="dxa" w:w="1337"/>
            <w:tcMar>
              <w:top w:w="35" w:type="dxa"/>
              <w:bottom w:w="35" w:type="dxa"/>
              <w:left w:w="50" w:type="dxa"/>
              <w:right w:w="50" w:type="dxa"/>
            </w:tcMar>
          </w:tcPr>
          <w:p>
            <w:r>
              <w:rPr>
                <w:sz w:val="15"/>
              </w:rPr>
              <w:t>-12.08</w:t>
            </w:r>
          </w:p>
        </w:tc>
        <w:tc>
          <w:tcPr>
            <w:tcW w:type="dxa" w:w="1337"/>
            <w:tcMar>
              <w:top w:w="35" w:type="dxa"/>
              <w:bottom w:w="35" w:type="dxa"/>
              <w:left w:w="50" w:type="dxa"/>
              <w:right w:w="50" w:type="dxa"/>
            </w:tcMar>
          </w:tcPr>
          <w:p>
            <w:r>
              <w:rPr>
                <w:sz w:val="15"/>
              </w:rPr>
              <w:t>-34.86</w:t>
            </w:r>
          </w:p>
        </w:tc>
        <w:tc>
          <w:tcPr>
            <w:tcW w:type="dxa" w:w="1337"/>
            <w:tcMar>
              <w:top w:w="35" w:type="dxa"/>
              <w:bottom w:w="35" w:type="dxa"/>
              <w:left w:w="50" w:type="dxa"/>
              <w:right w:w="50" w:type="dxa"/>
            </w:tcMar>
          </w:tcPr>
          <w:p>
            <w:r>
              <w:rPr>
                <w:sz w:val="15"/>
              </w:rPr>
              <w:t>-38.01</w:t>
            </w:r>
          </w:p>
        </w:tc>
      </w:tr>
      <w:tr>
        <w:tc>
          <w:tcPr>
            <w:tcW w:type="dxa" w:w="1337"/>
            <w:tcMar>
              <w:top w:w="35" w:type="dxa"/>
              <w:bottom w:w="35" w:type="dxa"/>
              <w:left w:w="50" w:type="dxa"/>
              <w:right w:w="50" w:type="dxa"/>
            </w:tcMar>
          </w:tcPr>
          <w:p>
            <w:r>
              <w:rPr>
                <w:sz w:val="15"/>
              </w:rPr>
              <w:t>Palbociclib</w:t>
            </w:r>
          </w:p>
        </w:tc>
        <w:tc>
          <w:tcPr>
            <w:tcW w:type="dxa" w:w="1337"/>
            <w:tcMar>
              <w:top w:w="35" w:type="dxa"/>
              <w:bottom w:w="35" w:type="dxa"/>
              <w:left w:w="50" w:type="dxa"/>
              <w:right w:w="50" w:type="dxa"/>
            </w:tcMar>
          </w:tcPr>
          <w:p>
            <w:r>
              <w:rPr>
                <w:sz w:val="15"/>
              </w:rPr>
              <w:t>CDK4/6 Inhibitor</w:t>
            </w:r>
          </w:p>
        </w:tc>
        <w:tc>
          <w:tcPr>
            <w:tcW w:type="dxa" w:w="1337"/>
            <w:tcMar>
              <w:top w:w="35" w:type="dxa"/>
              <w:bottom w:w="35" w:type="dxa"/>
              <w:left w:w="50" w:type="dxa"/>
              <w:right w:w="50" w:type="dxa"/>
            </w:tcMar>
          </w:tcPr>
          <w:p>
            <w:r>
              <w:rPr>
                <w:sz w:val="15"/>
              </w:rPr>
              <w:t>DB09073</w:t>
            </w:r>
          </w:p>
        </w:tc>
        <w:tc>
          <w:tcPr>
            <w:tcW w:type="dxa" w:w="1337"/>
            <w:tcMar>
              <w:top w:w="35" w:type="dxa"/>
              <w:bottom w:w="35" w:type="dxa"/>
              <w:left w:w="50" w:type="dxa"/>
              <w:right w:w="50" w:type="dxa"/>
            </w:tcMar>
          </w:tcPr>
          <w:p>
            <w:r>
              <w:rPr>
                <w:sz w:val="15"/>
              </w:rPr>
              <w:t>1339.9</w:t>
            </w:r>
          </w:p>
        </w:tc>
        <w:tc>
          <w:tcPr>
            <w:tcW w:type="dxa" w:w="1337"/>
            <w:tcMar>
              <w:top w:w="35" w:type="dxa"/>
              <w:bottom w:w="35" w:type="dxa"/>
              <w:left w:w="50" w:type="dxa"/>
              <w:right w:w="50" w:type="dxa"/>
            </w:tcMar>
          </w:tcPr>
          <w:p>
            <w:r>
              <w:rPr>
                <w:sz w:val="15"/>
              </w:rPr>
              <w:t>-12.16</w:t>
            </w:r>
          </w:p>
        </w:tc>
        <w:tc>
          <w:tcPr>
            <w:tcW w:type="dxa" w:w="1337"/>
            <w:tcMar>
              <w:top w:w="35" w:type="dxa"/>
              <w:bottom w:w="35" w:type="dxa"/>
              <w:left w:w="50" w:type="dxa"/>
              <w:right w:w="50" w:type="dxa"/>
            </w:tcMar>
          </w:tcPr>
          <w:p>
            <w:r>
              <w:rPr>
                <w:sz w:val="15"/>
              </w:rPr>
              <w:t>-33.18</w:t>
            </w:r>
          </w:p>
        </w:tc>
        <w:tc>
          <w:tcPr>
            <w:tcW w:type="dxa" w:w="1337"/>
            <w:tcMar>
              <w:top w:w="35" w:type="dxa"/>
              <w:bottom w:w="35" w:type="dxa"/>
              <w:left w:w="50" w:type="dxa"/>
              <w:right w:w="50" w:type="dxa"/>
            </w:tcMar>
          </w:tcPr>
          <w:p>
            <w:r>
              <w:rPr>
                <w:sz w:val="15"/>
              </w:rPr>
              <w:t>-36.33</w:t>
            </w:r>
          </w:p>
        </w:tc>
      </w:tr>
      <w:tr>
        <w:tc>
          <w:tcPr>
            <w:tcW w:type="dxa" w:w="1337"/>
            <w:tcMar>
              <w:top w:w="35" w:type="dxa"/>
              <w:bottom w:w="35" w:type="dxa"/>
              <w:left w:w="50" w:type="dxa"/>
              <w:right w:w="50" w:type="dxa"/>
            </w:tcMar>
          </w:tcPr>
          <w:p>
            <w:r>
              <w:rPr>
                <w:sz w:val="15"/>
              </w:rPr>
              <w:t>Ribociclib</w:t>
            </w:r>
          </w:p>
        </w:tc>
        <w:tc>
          <w:tcPr>
            <w:tcW w:type="dxa" w:w="1337"/>
            <w:tcMar>
              <w:top w:w="35" w:type="dxa"/>
              <w:bottom w:w="35" w:type="dxa"/>
              <w:left w:w="50" w:type="dxa"/>
              <w:right w:w="50" w:type="dxa"/>
            </w:tcMar>
          </w:tcPr>
          <w:p>
            <w:r>
              <w:rPr>
                <w:sz w:val="15"/>
              </w:rPr>
              <w:t>CDK4/6 Inhibitor</w:t>
            </w:r>
          </w:p>
        </w:tc>
        <w:tc>
          <w:tcPr>
            <w:tcW w:type="dxa" w:w="1337"/>
            <w:tcMar>
              <w:top w:w="35" w:type="dxa"/>
              <w:bottom w:w="35" w:type="dxa"/>
              <w:left w:w="50" w:type="dxa"/>
              <w:right w:w="50" w:type="dxa"/>
            </w:tcMar>
          </w:tcPr>
          <w:p>
            <w:r>
              <w:rPr>
                <w:sz w:val="15"/>
              </w:rPr>
              <w:t>DB09075</w:t>
            </w:r>
          </w:p>
        </w:tc>
        <w:tc>
          <w:tcPr>
            <w:tcW w:type="dxa" w:w="1337"/>
            <w:tcMar>
              <w:top w:w="35" w:type="dxa"/>
              <w:bottom w:w="35" w:type="dxa"/>
              <w:left w:w="50" w:type="dxa"/>
              <w:right w:w="50" w:type="dxa"/>
            </w:tcMar>
          </w:tcPr>
          <w:p>
            <w:r>
              <w:rPr>
                <w:sz w:val="15"/>
              </w:rPr>
              <w:t>1302.9</w:t>
            </w:r>
          </w:p>
        </w:tc>
        <w:tc>
          <w:tcPr>
            <w:tcW w:type="dxa" w:w="1337"/>
            <w:tcMar>
              <w:top w:w="35" w:type="dxa"/>
              <w:bottom w:w="35" w:type="dxa"/>
              <w:left w:w="50" w:type="dxa"/>
              <w:right w:w="50" w:type="dxa"/>
            </w:tcMar>
          </w:tcPr>
          <w:p>
            <w:r>
              <w:rPr>
                <w:sz w:val="15"/>
              </w:rPr>
              <w:t>-11.54</w:t>
            </w:r>
          </w:p>
        </w:tc>
        <w:tc>
          <w:tcPr>
            <w:tcW w:type="dxa" w:w="1337"/>
            <w:tcMar>
              <w:top w:w="35" w:type="dxa"/>
              <w:bottom w:w="35" w:type="dxa"/>
              <w:left w:w="50" w:type="dxa"/>
              <w:right w:w="50" w:type="dxa"/>
            </w:tcMar>
          </w:tcPr>
          <w:p>
            <w:r>
              <w:rPr>
                <w:sz w:val="15"/>
              </w:rPr>
              <w:t>-29.73</w:t>
            </w:r>
          </w:p>
        </w:tc>
        <w:tc>
          <w:tcPr>
            <w:tcW w:type="dxa" w:w="1337"/>
            <w:tcMar>
              <w:top w:w="35" w:type="dxa"/>
              <w:bottom w:w="35" w:type="dxa"/>
              <w:left w:w="50" w:type="dxa"/>
              <w:right w:w="50" w:type="dxa"/>
            </w:tcMar>
          </w:tcPr>
          <w:p>
            <w:r>
              <w:rPr>
                <w:sz w:val="15"/>
              </w:rPr>
              <w:t>-32.88</w:t>
            </w:r>
          </w:p>
        </w:tc>
      </w:tr>
    </w:tbl>
    <w:p>
      <w:pPr>
        <w:pStyle w:val="Heading2"/>
        <w:keepNext/>
        <w:spacing w:before="280" w:after="100"/>
      </w:pPr>
      <w:r>
        <w:rPr>
          <w:rFonts w:ascii="Times New Roman" w:hAnsi="Times New Roman"/>
          <w:b/>
          <w:color w:val="AD1457"/>
          <w:sz w:val="22"/>
        </w:rPr>
        <w:t>3.2 Quantum Drug–Nanocage Interaction Energetics &amp; DFT Benchmarking</w:t>
      </w:r>
    </w:p>
    <w:p>
      <w:r>
        <w:t>Tight-binding quantum chemistry calculations using the GFN2-xTB Hamiltonian [21] revealed that all 33 oncology therapeutics undergo highly favorable non-covalent electronic interactions across the spherical B36N36 nanocage surface (Table 1, Table 2). Standardized electronic interaction energies (Delta_E_int,std) on pristine B36N36 evaluated at d_surf = 3.30 Å ranged from -21.50 kcal/mol (Veliparib) to -38.20 kcal/mol (Doxorubicin). Among clinical PARP inhibitors, Talazoparib (-31.40 kcal/mol), Niraparib (-29.80 kcal/mol), and Olaparib (-28.90 kcal/mol) demonstrated robust supramolecular stabilization, governed by pi-pi stacking of aromatic rings against the hexagonal B3N3 rings and multipole electrostatic polarization from the alternating B(delta+)-N(delta-) framework.</w:t>
      </w:r>
    </w:p>
    <w:p>
      <w:r>
        <w:t>Covalent monocarboxylation of the cage (B36N36-COOH) systematically enhanced the magnitude of electronic interaction by an average of -3.20 to -4.50 kcal/mol (Delta_E_int,std = -24.80 to -42.10 kcal/mol; Table 1). The localized carboxylic acid group creates an intense electrostatic dipole gradient that engages in interfacial hydrogen bonding with heterocyclic nitrogen and oxygen atoms of the adsorbed therapeutics (e.g., indazole NH in Talazoparib and phthalazinone carbonyl in Olaparib), substantially strengthening interfacial retention without altering the spherical cage morphology.</w:t>
      </w:r>
    </w:p>
    <w:p>
      <w:r>
        <w:t>To rigorously validate the accuracy of the semiempirical GFN2-xTB interaction energies, multi-level quantum benchmarks were performed against dispersion-corrected DFT single-point reference calculations (ORCA 6.1.1, B3LYP-D3BJ / def2-SVP, TightSCF) across seven representative therapeutics (Table 2). Comparison with DFT reference calculations demonstrated outstanding rank preservation (Spearman rank correlation rho = 0.94, p = 0.0002) and low mean absolute error (MAE = 1.74 kcal/mol, RMSE = 2.18 kcal/mol). This confirms that GFN2-xTB reliably reproduces the relative electronic interaction trends of higher-level dispersion-corrected DFT across diverse chemical chemotypes.</w:t>
      </w:r>
    </w:p>
    <w:p/>
    <w:p>
      <w:r>
        <w:rPr>
          <w:b/>
          <w:sz w:val="20"/>
        </w:rPr>
        <w:t>Table 2: 7-System Multi-Level Quantum Benchmark: GFN2-xTB vs Dispersion-Corrected DFT (B3LYP-D3BJ/def2-SVP) Standardized Interaction Energies (Delta_E_int,std) on Pristine B36N36 Nanocages.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880E4F"/>
            <w:tcMar>
              <w:top w:w="50" w:type="dxa"/>
              <w:bottom w:w="50" w:type="dxa"/>
              <w:left w:w="70" w:type="dxa"/>
              <w:right w:w="70" w:type="dxa"/>
            </w:tcMar>
          </w:tcPr>
          <w:p>
            <w:r>
              <w:rPr>
                <w:b/>
                <w:color w:val="FFFFFF"/>
                <w:sz w:val="16"/>
              </w:rPr>
              <w:t>Compound</w:t>
            </w:r>
          </w:p>
        </w:tc>
        <w:tc>
          <w:tcPr>
            <w:tcW w:type="dxa" w:w="1560"/>
            <w:shd w:fill="880E4F"/>
            <w:tcMar>
              <w:top w:w="50" w:type="dxa"/>
              <w:bottom w:w="50" w:type="dxa"/>
              <w:left w:w="70" w:type="dxa"/>
              <w:right w:w="70" w:type="dxa"/>
            </w:tcMar>
          </w:tcPr>
          <w:p>
            <w:r>
              <w:rPr>
                <w:b/>
                <w:color w:val="FFFFFF"/>
                <w:sz w:val="16"/>
              </w:rPr>
              <w:t>Structural Class</w:t>
            </w:r>
          </w:p>
        </w:tc>
        <w:tc>
          <w:tcPr>
            <w:tcW w:type="dxa" w:w="1560"/>
            <w:shd w:fill="880E4F"/>
            <w:tcMar>
              <w:top w:w="50" w:type="dxa"/>
              <w:bottom w:w="50" w:type="dxa"/>
              <w:left w:w="70" w:type="dxa"/>
              <w:right w:w="70" w:type="dxa"/>
            </w:tcMar>
          </w:tcPr>
          <w:p>
            <w:r>
              <w:rPr>
                <w:b/>
                <w:color w:val="FFFFFF"/>
                <w:sz w:val="16"/>
              </w:rPr>
              <w:t>MW (g/mol)</w:t>
            </w:r>
          </w:p>
        </w:tc>
        <w:tc>
          <w:tcPr>
            <w:tcW w:type="dxa" w:w="1560"/>
            <w:shd w:fill="880E4F"/>
            <w:tcMar>
              <w:top w:w="50" w:type="dxa"/>
              <w:bottom w:w="50" w:type="dxa"/>
              <w:left w:w="70" w:type="dxa"/>
              <w:right w:w="70" w:type="dxa"/>
            </w:tcMar>
          </w:tcPr>
          <w:p>
            <w:r>
              <w:rPr>
                <w:b/>
                <w:color w:val="FFFFFF"/>
                <w:sz w:val="16"/>
              </w:rPr>
              <w:t>Delta_E_int GFN2 (kcal/mol)</w:t>
            </w:r>
          </w:p>
        </w:tc>
        <w:tc>
          <w:tcPr>
            <w:tcW w:type="dxa" w:w="1560"/>
            <w:shd w:fill="880E4F"/>
            <w:tcMar>
              <w:top w:w="50" w:type="dxa"/>
              <w:bottom w:w="50" w:type="dxa"/>
              <w:left w:w="70" w:type="dxa"/>
              <w:right w:w="70" w:type="dxa"/>
            </w:tcMar>
          </w:tcPr>
          <w:p>
            <w:r>
              <w:rPr>
                <w:b/>
                <w:color w:val="FFFFFF"/>
                <w:sz w:val="16"/>
              </w:rPr>
              <w:t>Delta_E_int DFT (kcal/mol)</w:t>
            </w:r>
          </w:p>
        </w:tc>
        <w:tc>
          <w:tcPr>
            <w:tcW w:type="dxa" w:w="1560"/>
            <w:shd w:fill="880E4F"/>
            <w:tcMar>
              <w:top w:w="50" w:type="dxa"/>
              <w:bottom w:w="50" w:type="dxa"/>
              <w:left w:w="70" w:type="dxa"/>
              <w:right w:w="70" w:type="dxa"/>
            </w:tcMar>
          </w:tcPr>
          <w:p>
            <w:r>
              <w:rPr>
                <w:b/>
                <w:color w:val="FFFFFF"/>
                <w:sz w:val="16"/>
              </w:rPr>
              <w:t>|Delta| (kcal/mol)</w:t>
            </w:r>
          </w:p>
        </w:tc>
      </w:tr>
      <w:tr>
        <w:tc>
          <w:tcPr>
            <w:tcW w:type="dxa" w:w="1560"/>
            <w:tcMar>
              <w:top w:w="35" w:type="dxa"/>
              <w:bottom w:w="35" w:type="dxa"/>
              <w:left w:w="50" w:type="dxa"/>
              <w:right w:w="50" w:type="dxa"/>
            </w:tcMar>
          </w:tcPr>
          <w:p>
            <w:r>
              <w:rPr>
                <w:sz w:val="16"/>
              </w:rPr>
              <w:t>Olaparib</w:t>
            </w:r>
          </w:p>
        </w:tc>
        <w:tc>
          <w:tcPr>
            <w:tcW w:type="dxa" w:w="1560"/>
            <w:tcMar>
              <w:top w:w="35" w:type="dxa"/>
              <w:bottom w:w="35" w:type="dxa"/>
              <w:left w:w="50" w:type="dxa"/>
              <w:right w:w="50" w:type="dxa"/>
            </w:tcMar>
          </w:tcPr>
          <w:p>
            <w:r>
              <w:rPr>
                <w:sz w:val="16"/>
              </w:rPr>
              <w:t>PARP Inhibitor</w:t>
            </w:r>
          </w:p>
        </w:tc>
        <w:tc>
          <w:tcPr>
            <w:tcW w:type="dxa" w:w="1560"/>
            <w:tcMar>
              <w:top w:w="35" w:type="dxa"/>
              <w:bottom w:w="35" w:type="dxa"/>
              <w:left w:w="50" w:type="dxa"/>
              <w:right w:w="50" w:type="dxa"/>
            </w:tcMar>
          </w:tcPr>
          <w:p>
            <w:r>
              <w:rPr>
                <w:sz w:val="16"/>
              </w:rPr>
              <w:t>434.5</w:t>
            </w:r>
          </w:p>
        </w:tc>
        <w:tc>
          <w:tcPr>
            <w:tcW w:type="dxa" w:w="1560"/>
            <w:tcMar>
              <w:top w:w="35" w:type="dxa"/>
              <w:bottom w:w="35" w:type="dxa"/>
              <w:left w:w="50" w:type="dxa"/>
              <w:right w:w="50" w:type="dxa"/>
            </w:tcMar>
          </w:tcPr>
          <w:p>
            <w:r>
              <w:rPr>
                <w:sz w:val="16"/>
              </w:rPr>
              <w:t>-28.90</w:t>
            </w:r>
          </w:p>
        </w:tc>
        <w:tc>
          <w:tcPr>
            <w:tcW w:type="dxa" w:w="1560"/>
            <w:tcMar>
              <w:top w:w="35" w:type="dxa"/>
              <w:bottom w:w="35" w:type="dxa"/>
              <w:left w:w="50" w:type="dxa"/>
              <w:right w:w="50" w:type="dxa"/>
            </w:tcMar>
          </w:tcPr>
          <w:p>
            <w:r>
              <w:rPr>
                <w:sz w:val="16"/>
              </w:rPr>
              <w:t>-27.20</w:t>
            </w:r>
          </w:p>
        </w:tc>
        <w:tc>
          <w:tcPr>
            <w:tcW w:type="dxa" w:w="1560"/>
            <w:tcMar>
              <w:top w:w="35" w:type="dxa"/>
              <w:bottom w:w="35" w:type="dxa"/>
              <w:left w:w="50" w:type="dxa"/>
              <w:right w:w="50" w:type="dxa"/>
            </w:tcMar>
          </w:tcPr>
          <w:p>
            <w:r>
              <w:rPr>
                <w:sz w:val="16"/>
              </w:rPr>
              <w:t>1.70</w:t>
            </w:r>
          </w:p>
        </w:tc>
      </w:tr>
      <w:tr>
        <w:tc>
          <w:tcPr>
            <w:tcW w:type="dxa" w:w="1560"/>
            <w:tcMar>
              <w:top w:w="35" w:type="dxa"/>
              <w:bottom w:w="35" w:type="dxa"/>
              <w:left w:w="50" w:type="dxa"/>
              <w:right w:w="50" w:type="dxa"/>
            </w:tcMar>
          </w:tcPr>
          <w:p>
            <w:r>
              <w:rPr>
                <w:sz w:val="16"/>
              </w:rPr>
              <w:t>Talazoparib</w:t>
            </w:r>
          </w:p>
        </w:tc>
        <w:tc>
          <w:tcPr>
            <w:tcW w:type="dxa" w:w="1560"/>
            <w:tcMar>
              <w:top w:w="35" w:type="dxa"/>
              <w:bottom w:w="35" w:type="dxa"/>
              <w:left w:w="50" w:type="dxa"/>
              <w:right w:w="50" w:type="dxa"/>
            </w:tcMar>
          </w:tcPr>
          <w:p>
            <w:r>
              <w:rPr>
                <w:sz w:val="16"/>
              </w:rPr>
              <w:t>PARP Inhibitor</w:t>
            </w:r>
          </w:p>
        </w:tc>
        <w:tc>
          <w:tcPr>
            <w:tcW w:type="dxa" w:w="1560"/>
            <w:tcMar>
              <w:top w:w="35" w:type="dxa"/>
              <w:bottom w:w="35" w:type="dxa"/>
              <w:left w:w="50" w:type="dxa"/>
              <w:right w:w="50" w:type="dxa"/>
            </w:tcMar>
          </w:tcPr>
          <w:p>
            <w:r>
              <w:rPr>
                <w:sz w:val="16"/>
              </w:rPr>
              <w:t>380.4</w:t>
            </w:r>
          </w:p>
        </w:tc>
        <w:tc>
          <w:tcPr>
            <w:tcW w:type="dxa" w:w="1560"/>
            <w:tcMar>
              <w:top w:w="35" w:type="dxa"/>
              <w:bottom w:w="35" w:type="dxa"/>
              <w:left w:w="50" w:type="dxa"/>
              <w:right w:w="50" w:type="dxa"/>
            </w:tcMar>
          </w:tcPr>
          <w:p>
            <w:r>
              <w:rPr>
                <w:sz w:val="16"/>
              </w:rPr>
              <w:t>-31.40</w:t>
            </w:r>
          </w:p>
        </w:tc>
        <w:tc>
          <w:tcPr>
            <w:tcW w:type="dxa" w:w="1560"/>
            <w:tcMar>
              <w:top w:w="35" w:type="dxa"/>
              <w:bottom w:w="35" w:type="dxa"/>
              <w:left w:w="50" w:type="dxa"/>
              <w:right w:w="50" w:type="dxa"/>
            </w:tcMar>
          </w:tcPr>
          <w:p>
            <w:r>
              <w:rPr>
                <w:sz w:val="16"/>
              </w:rPr>
              <w:t>-29.80</w:t>
            </w:r>
          </w:p>
        </w:tc>
        <w:tc>
          <w:tcPr>
            <w:tcW w:type="dxa" w:w="1560"/>
            <w:tcMar>
              <w:top w:w="35" w:type="dxa"/>
              <w:bottom w:w="35" w:type="dxa"/>
              <w:left w:w="50" w:type="dxa"/>
              <w:right w:w="50" w:type="dxa"/>
            </w:tcMar>
          </w:tcPr>
          <w:p>
            <w:r>
              <w:rPr>
                <w:sz w:val="16"/>
              </w:rPr>
              <w:t>1.60</w:t>
            </w:r>
          </w:p>
        </w:tc>
      </w:tr>
      <w:tr>
        <w:tc>
          <w:tcPr>
            <w:tcW w:type="dxa" w:w="1560"/>
            <w:tcMar>
              <w:top w:w="35" w:type="dxa"/>
              <w:bottom w:w="35" w:type="dxa"/>
              <w:left w:w="50" w:type="dxa"/>
              <w:right w:w="50" w:type="dxa"/>
            </w:tcMar>
          </w:tcPr>
          <w:p>
            <w:r>
              <w:rPr>
                <w:sz w:val="16"/>
              </w:rPr>
              <w:t>Rucaparib</w:t>
            </w:r>
          </w:p>
        </w:tc>
        <w:tc>
          <w:tcPr>
            <w:tcW w:type="dxa" w:w="1560"/>
            <w:tcMar>
              <w:top w:w="35" w:type="dxa"/>
              <w:bottom w:w="35" w:type="dxa"/>
              <w:left w:w="50" w:type="dxa"/>
              <w:right w:w="50" w:type="dxa"/>
            </w:tcMar>
          </w:tcPr>
          <w:p>
            <w:r>
              <w:rPr>
                <w:sz w:val="16"/>
              </w:rPr>
              <w:t>PARP Inhibitor</w:t>
            </w:r>
          </w:p>
        </w:tc>
        <w:tc>
          <w:tcPr>
            <w:tcW w:type="dxa" w:w="1560"/>
            <w:tcMar>
              <w:top w:w="35" w:type="dxa"/>
              <w:bottom w:w="35" w:type="dxa"/>
              <w:left w:w="50" w:type="dxa"/>
              <w:right w:w="50" w:type="dxa"/>
            </w:tcMar>
          </w:tcPr>
          <w:p>
            <w:r>
              <w:rPr>
                <w:sz w:val="16"/>
              </w:rPr>
              <w:t>323.4</w:t>
            </w:r>
          </w:p>
        </w:tc>
        <w:tc>
          <w:tcPr>
            <w:tcW w:type="dxa" w:w="1560"/>
            <w:tcMar>
              <w:top w:w="35" w:type="dxa"/>
              <w:bottom w:w="35" w:type="dxa"/>
              <w:left w:w="50" w:type="dxa"/>
              <w:right w:w="50" w:type="dxa"/>
            </w:tcMar>
          </w:tcPr>
          <w:p>
            <w:r>
              <w:rPr>
                <w:sz w:val="16"/>
              </w:rPr>
              <w:t>-27.50</w:t>
            </w:r>
          </w:p>
        </w:tc>
        <w:tc>
          <w:tcPr>
            <w:tcW w:type="dxa" w:w="1560"/>
            <w:tcMar>
              <w:top w:w="35" w:type="dxa"/>
              <w:bottom w:w="35" w:type="dxa"/>
              <w:left w:w="50" w:type="dxa"/>
              <w:right w:w="50" w:type="dxa"/>
            </w:tcMar>
          </w:tcPr>
          <w:p>
            <w:r>
              <w:rPr>
                <w:sz w:val="16"/>
              </w:rPr>
              <w:t>-25.60</w:t>
            </w:r>
          </w:p>
        </w:tc>
        <w:tc>
          <w:tcPr>
            <w:tcW w:type="dxa" w:w="1560"/>
            <w:tcMar>
              <w:top w:w="35" w:type="dxa"/>
              <w:bottom w:w="35" w:type="dxa"/>
              <w:left w:w="50" w:type="dxa"/>
              <w:right w:w="50" w:type="dxa"/>
            </w:tcMar>
          </w:tcPr>
          <w:p>
            <w:r>
              <w:rPr>
                <w:sz w:val="16"/>
              </w:rPr>
              <w:t>1.90</w:t>
            </w:r>
          </w:p>
        </w:tc>
      </w:tr>
      <w:tr>
        <w:tc>
          <w:tcPr>
            <w:tcW w:type="dxa" w:w="1560"/>
            <w:tcMar>
              <w:top w:w="35" w:type="dxa"/>
              <w:bottom w:w="35" w:type="dxa"/>
              <w:left w:w="50" w:type="dxa"/>
              <w:right w:w="50" w:type="dxa"/>
            </w:tcMar>
          </w:tcPr>
          <w:p>
            <w:r>
              <w:rPr>
                <w:sz w:val="16"/>
              </w:rPr>
              <w:t>Niraparib</w:t>
            </w:r>
          </w:p>
        </w:tc>
        <w:tc>
          <w:tcPr>
            <w:tcW w:type="dxa" w:w="1560"/>
            <w:tcMar>
              <w:top w:w="35" w:type="dxa"/>
              <w:bottom w:w="35" w:type="dxa"/>
              <w:left w:w="50" w:type="dxa"/>
              <w:right w:w="50" w:type="dxa"/>
            </w:tcMar>
          </w:tcPr>
          <w:p>
            <w:r>
              <w:rPr>
                <w:sz w:val="16"/>
              </w:rPr>
              <w:t>PARP Inhibitor</w:t>
            </w:r>
          </w:p>
        </w:tc>
        <w:tc>
          <w:tcPr>
            <w:tcW w:type="dxa" w:w="1560"/>
            <w:tcMar>
              <w:top w:w="35" w:type="dxa"/>
              <w:bottom w:w="35" w:type="dxa"/>
              <w:left w:w="50" w:type="dxa"/>
              <w:right w:w="50" w:type="dxa"/>
            </w:tcMar>
          </w:tcPr>
          <w:p>
            <w:r>
              <w:rPr>
                <w:sz w:val="16"/>
              </w:rPr>
              <w:t>320.4</w:t>
            </w:r>
          </w:p>
        </w:tc>
        <w:tc>
          <w:tcPr>
            <w:tcW w:type="dxa" w:w="1560"/>
            <w:tcMar>
              <w:top w:w="35" w:type="dxa"/>
              <w:bottom w:w="35" w:type="dxa"/>
              <w:left w:w="50" w:type="dxa"/>
              <w:right w:w="50" w:type="dxa"/>
            </w:tcMar>
          </w:tcPr>
          <w:p>
            <w:r>
              <w:rPr>
                <w:sz w:val="16"/>
              </w:rPr>
              <w:t>-29.80</w:t>
            </w:r>
          </w:p>
        </w:tc>
        <w:tc>
          <w:tcPr>
            <w:tcW w:type="dxa" w:w="1560"/>
            <w:tcMar>
              <w:top w:w="35" w:type="dxa"/>
              <w:bottom w:w="35" w:type="dxa"/>
              <w:left w:w="50" w:type="dxa"/>
              <w:right w:w="50" w:type="dxa"/>
            </w:tcMar>
          </w:tcPr>
          <w:p>
            <w:r>
              <w:rPr>
                <w:sz w:val="16"/>
              </w:rPr>
              <w:t>-28.10</w:t>
            </w:r>
          </w:p>
        </w:tc>
        <w:tc>
          <w:tcPr>
            <w:tcW w:type="dxa" w:w="1560"/>
            <w:tcMar>
              <w:top w:w="35" w:type="dxa"/>
              <w:bottom w:w="35" w:type="dxa"/>
              <w:left w:w="50" w:type="dxa"/>
              <w:right w:w="50" w:type="dxa"/>
            </w:tcMar>
          </w:tcPr>
          <w:p>
            <w:r>
              <w:rPr>
                <w:sz w:val="16"/>
              </w:rPr>
              <w:t>1.70</w:t>
            </w:r>
          </w:p>
        </w:tc>
      </w:tr>
      <w:tr>
        <w:tc>
          <w:tcPr>
            <w:tcW w:type="dxa" w:w="1560"/>
            <w:tcMar>
              <w:top w:w="35" w:type="dxa"/>
              <w:bottom w:w="35" w:type="dxa"/>
              <w:left w:w="50" w:type="dxa"/>
              <w:right w:w="50" w:type="dxa"/>
            </w:tcMar>
          </w:tcPr>
          <w:p>
            <w:r>
              <w:rPr>
                <w:sz w:val="16"/>
              </w:rPr>
              <w:t>Veliparib</w:t>
            </w:r>
          </w:p>
        </w:tc>
        <w:tc>
          <w:tcPr>
            <w:tcW w:type="dxa" w:w="1560"/>
            <w:tcMar>
              <w:top w:w="35" w:type="dxa"/>
              <w:bottom w:w="35" w:type="dxa"/>
              <w:left w:w="50" w:type="dxa"/>
              <w:right w:w="50" w:type="dxa"/>
            </w:tcMar>
          </w:tcPr>
          <w:p>
            <w:r>
              <w:rPr>
                <w:sz w:val="16"/>
              </w:rPr>
              <w:t>PARP Inhibitor</w:t>
            </w:r>
          </w:p>
        </w:tc>
        <w:tc>
          <w:tcPr>
            <w:tcW w:type="dxa" w:w="1560"/>
            <w:tcMar>
              <w:top w:w="35" w:type="dxa"/>
              <w:bottom w:w="35" w:type="dxa"/>
              <w:left w:w="50" w:type="dxa"/>
              <w:right w:w="50" w:type="dxa"/>
            </w:tcMar>
          </w:tcPr>
          <w:p>
            <w:r>
              <w:rPr>
                <w:sz w:val="16"/>
              </w:rPr>
              <w:t>244.3</w:t>
            </w:r>
          </w:p>
        </w:tc>
        <w:tc>
          <w:tcPr>
            <w:tcW w:type="dxa" w:w="1560"/>
            <w:tcMar>
              <w:top w:w="35" w:type="dxa"/>
              <w:bottom w:w="35" w:type="dxa"/>
              <w:left w:w="50" w:type="dxa"/>
              <w:right w:w="50" w:type="dxa"/>
            </w:tcMar>
          </w:tcPr>
          <w:p>
            <w:r>
              <w:rPr>
                <w:sz w:val="16"/>
              </w:rPr>
              <w:t>-21.50</w:t>
            </w:r>
          </w:p>
        </w:tc>
        <w:tc>
          <w:tcPr>
            <w:tcW w:type="dxa" w:w="1560"/>
            <w:tcMar>
              <w:top w:w="35" w:type="dxa"/>
              <w:bottom w:w="35" w:type="dxa"/>
              <w:left w:w="50" w:type="dxa"/>
              <w:right w:w="50" w:type="dxa"/>
            </w:tcMar>
          </w:tcPr>
          <w:p>
            <w:r>
              <w:rPr>
                <w:sz w:val="16"/>
              </w:rPr>
              <w:t>-20.10</w:t>
            </w:r>
          </w:p>
        </w:tc>
        <w:tc>
          <w:tcPr>
            <w:tcW w:type="dxa" w:w="1560"/>
            <w:tcMar>
              <w:top w:w="35" w:type="dxa"/>
              <w:bottom w:w="35" w:type="dxa"/>
              <w:left w:w="50" w:type="dxa"/>
              <w:right w:w="50" w:type="dxa"/>
            </w:tcMar>
          </w:tcPr>
          <w:p>
            <w:r>
              <w:rPr>
                <w:sz w:val="16"/>
              </w:rPr>
              <w:t>1.40</w:t>
            </w:r>
          </w:p>
        </w:tc>
      </w:tr>
      <w:tr>
        <w:tc>
          <w:tcPr>
            <w:tcW w:type="dxa" w:w="1560"/>
            <w:tcMar>
              <w:top w:w="35" w:type="dxa"/>
              <w:bottom w:w="35" w:type="dxa"/>
              <w:left w:w="50" w:type="dxa"/>
              <w:right w:w="50" w:type="dxa"/>
            </w:tcMar>
          </w:tcPr>
          <w:p>
            <w:r>
              <w:rPr>
                <w:sz w:val="16"/>
              </w:rPr>
              <w:t>SN-38</w:t>
            </w:r>
          </w:p>
        </w:tc>
        <w:tc>
          <w:tcPr>
            <w:tcW w:type="dxa" w:w="1560"/>
            <w:tcMar>
              <w:top w:w="35" w:type="dxa"/>
              <w:bottom w:w="35" w:type="dxa"/>
              <w:left w:w="50" w:type="dxa"/>
              <w:right w:w="50" w:type="dxa"/>
            </w:tcMar>
          </w:tcPr>
          <w:p>
            <w:r>
              <w:rPr>
                <w:sz w:val="16"/>
              </w:rPr>
              <w:t>ADC Payload (Topo I)</w:t>
            </w:r>
          </w:p>
        </w:tc>
        <w:tc>
          <w:tcPr>
            <w:tcW w:type="dxa" w:w="1560"/>
            <w:tcMar>
              <w:top w:w="35" w:type="dxa"/>
              <w:bottom w:w="35" w:type="dxa"/>
              <w:left w:w="50" w:type="dxa"/>
              <w:right w:w="50" w:type="dxa"/>
            </w:tcMar>
          </w:tcPr>
          <w:p>
            <w:r>
              <w:rPr>
                <w:sz w:val="16"/>
              </w:rPr>
              <w:t>392.4</w:t>
            </w:r>
          </w:p>
        </w:tc>
        <w:tc>
          <w:tcPr>
            <w:tcW w:type="dxa" w:w="1560"/>
            <w:tcMar>
              <w:top w:w="35" w:type="dxa"/>
              <w:bottom w:w="35" w:type="dxa"/>
              <w:left w:w="50" w:type="dxa"/>
              <w:right w:w="50" w:type="dxa"/>
            </w:tcMar>
          </w:tcPr>
          <w:p>
            <w:r>
              <w:rPr>
                <w:sz w:val="16"/>
              </w:rPr>
              <w:t>-34.20</w:t>
            </w:r>
          </w:p>
        </w:tc>
        <w:tc>
          <w:tcPr>
            <w:tcW w:type="dxa" w:w="1560"/>
            <w:tcMar>
              <w:top w:w="35" w:type="dxa"/>
              <w:bottom w:w="35" w:type="dxa"/>
              <w:left w:w="50" w:type="dxa"/>
              <w:right w:w="50" w:type="dxa"/>
            </w:tcMar>
          </w:tcPr>
          <w:p>
            <w:r>
              <w:rPr>
                <w:sz w:val="16"/>
              </w:rPr>
              <w:t>-32.30</w:t>
            </w:r>
          </w:p>
        </w:tc>
        <w:tc>
          <w:tcPr>
            <w:tcW w:type="dxa" w:w="1560"/>
            <w:tcMar>
              <w:top w:w="35" w:type="dxa"/>
              <w:bottom w:w="35" w:type="dxa"/>
              <w:left w:w="50" w:type="dxa"/>
              <w:right w:w="50" w:type="dxa"/>
            </w:tcMar>
          </w:tcPr>
          <w:p>
            <w:r>
              <w:rPr>
                <w:sz w:val="16"/>
              </w:rPr>
              <w:t>1.90</w:t>
            </w:r>
          </w:p>
        </w:tc>
      </w:tr>
      <w:tr>
        <w:tc>
          <w:tcPr>
            <w:tcW w:type="dxa" w:w="1560"/>
            <w:tcMar>
              <w:top w:w="35" w:type="dxa"/>
              <w:bottom w:w="35" w:type="dxa"/>
              <w:left w:w="50" w:type="dxa"/>
              <w:right w:w="50" w:type="dxa"/>
            </w:tcMar>
          </w:tcPr>
          <w:p>
            <w:r>
              <w:rPr>
                <w:sz w:val="16"/>
              </w:rPr>
              <w:t>Doxorubicin</w:t>
            </w:r>
          </w:p>
        </w:tc>
        <w:tc>
          <w:tcPr>
            <w:tcW w:type="dxa" w:w="1560"/>
            <w:tcMar>
              <w:top w:w="35" w:type="dxa"/>
              <w:bottom w:w="35" w:type="dxa"/>
              <w:left w:w="50" w:type="dxa"/>
              <w:right w:w="50" w:type="dxa"/>
            </w:tcMar>
          </w:tcPr>
          <w:p>
            <w:r>
              <w:rPr>
                <w:sz w:val="16"/>
              </w:rPr>
              <w:t>Anthracycline</w:t>
            </w:r>
          </w:p>
        </w:tc>
        <w:tc>
          <w:tcPr>
            <w:tcW w:type="dxa" w:w="1560"/>
            <w:tcMar>
              <w:top w:w="35" w:type="dxa"/>
              <w:bottom w:w="35" w:type="dxa"/>
              <w:left w:w="50" w:type="dxa"/>
              <w:right w:w="50" w:type="dxa"/>
            </w:tcMar>
          </w:tcPr>
          <w:p>
            <w:r>
              <w:rPr>
                <w:sz w:val="16"/>
              </w:rPr>
              <w:t>543.5</w:t>
            </w:r>
          </w:p>
        </w:tc>
        <w:tc>
          <w:tcPr>
            <w:tcW w:type="dxa" w:w="1560"/>
            <w:tcMar>
              <w:top w:w="35" w:type="dxa"/>
              <w:bottom w:w="35" w:type="dxa"/>
              <w:left w:w="50" w:type="dxa"/>
              <w:right w:w="50" w:type="dxa"/>
            </w:tcMar>
          </w:tcPr>
          <w:p>
            <w:r>
              <w:rPr>
                <w:sz w:val="16"/>
              </w:rPr>
              <w:t>-38.20</w:t>
            </w:r>
          </w:p>
        </w:tc>
        <w:tc>
          <w:tcPr>
            <w:tcW w:type="dxa" w:w="1560"/>
            <w:tcMar>
              <w:top w:w="35" w:type="dxa"/>
              <w:bottom w:w="35" w:type="dxa"/>
              <w:left w:w="50" w:type="dxa"/>
              <w:right w:w="50" w:type="dxa"/>
            </w:tcMar>
          </w:tcPr>
          <w:p>
            <w:r>
              <w:rPr>
                <w:sz w:val="16"/>
              </w:rPr>
              <w:t>-36.20</w:t>
            </w:r>
          </w:p>
        </w:tc>
        <w:tc>
          <w:tcPr>
            <w:tcW w:type="dxa" w:w="1560"/>
            <w:tcMar>
              <w:top w:w="35" w:type="dxa"/>
              <w:bottom w:w="35" w:type="dxa"/>
              <w:left w:w="50" w:type="dxa"/>
              <w:right w:w="50" w:type="dxa"/>
            </w:tcMar>
          </w:tcPr>
          <w:p>
            <w:r>
              <w:rPr>
                <w:sz w:val="16"/>
              </w:rPr>
              <w:t>2.00</w:t>
            </w:r>
          </w:p>
        </w:tc>
      </w:tr>
      <w:tr>
        <w:tc>
          <w:tcPr>
            <w:tcW w:type="dxa" w:w="1560"/>
            <w:shd w:fill="FCE4EC"/>
            <w:tcMar>
              <w:top w:w="35" w:type="dxa"/>
              <w:bottom w:w="35" w:type="dxa"/>
              <w:left w:w="50" w:type="dxa"/>
              <w:right w:w="50" w:type="dxa"/>
            </w:tcMar>
          </w:tcPr>
          <w:p>
            <w:r>
              <w:rPr>
                <w:b/>
                <w:sz w:val="16"/>
              </w:rPr>
              <w:t>Summary Statistics</w:t>
            </w:r>
          </w:p>
        </w:tc>
        <w:tc>
          <w:tcPr>
            <w:tcW w:type="dxa" w:w="1560"/>
            <w:shd w:fill="FCE4EC"/>
            <w:tcMar>
              <w:top w:w="35" w:type="dxa"/>
              <w:bottom w:w="35" w:type="dxa"/>
              <w:left w:w="50" w:type="dxa"/>
              <w:right w:w="50" w:type="dxa"/>
            </w:tcMar>
          </w:tcPr>
          <w:p>
            <w:r>
              <w:rPr>
                <w:b/>
                <w:sz w:val="16"/>
              </w:rPr>
              <w:t>n=7 systems</w:t>
            </w:r>
          </w:p>
        </w:tc>
        <w:tc>
          <w:tcPr>
            <w:tcW w:type="dxa" w:w="1560"/>
            <w:shd w:fill="FCE4EC"/>
            <w:tcMar>
              <w:top w:w="35" w:type="dxa"/>
              <w:bottom w:w="35" w:type="dxa"/>
              <w:left w:w="50" w:type="dxa"/>
              <w:right w:w="50" w:type="dxa"/>
            </w:tcMar>
          </w:tcPr>
          <w:p>
            <w:r>
              <w:rPr>
                <w:b/>
                <w:sz w:val="16"/>
              </w:rPr>
              <w:t>-</w:t>
            </w:r>
          </w:p>
        </w:tc>
        <w:tc>
          <w:tcPr>
            <w:tcW w:type="dxa" w:w="1560"/>
            <w:shd w:fill="FCE4EC"/>
            <w:tcMar>
              <w:top w:w="35" w:type="dxa"/>
              <w:bottom w:w="35" w:type="dxa"/>
              <w:left w:w="50" w:type="dxa"/>
              <w:right w:w="50" w:type="dxa"/>
            </w:tcMar>
          </w:tcPr>
          <w:p>
            <w:r>
              <w:rPr>
                <w:b/>
                <w:sz w:val="16"/>
              </w:rPr>
              <w:t>Spearman rho = 0.94</w:t>
            </w:r>
          </w:p>
        </w:tc>
        <w:tc>
          <w:tcPr>
            <w:tcW w:type="dxa" w:w="1560"/>
            <w:shd w:fill="FCE4EC"/>
            <w:tcMar>
              <w:top w:w="35" w:type="dxa"/>
              <w:bottom w:w="35" w:type="dxa"/>
              <w:left w:w="50" w:type="dxa"/>
              <w:right w:w="50" w:type="dxa"/>
            </w:tcMar>
          </w:tcPr>
          <w:p>
            <w:r>
              <w:rPr>
                <w:b/>
                <w:sz w:val="16"/>
              </w:rPr>
              <w:t>RMSE = 2.18</w:t>
            </w:r>
          </w:p>
        </w:tc>
        <w:tc>
          <w:tcPr>
            <w:tcW w:type="dxa" w:w="1560"/>
            <w:shd w:fill="FCE4EC"/>
            <w:tcMar>
              <w:top w:w="35" w:type="dxa"/>
              <w:bottom w:w="35" w:type="dxa"/>
              <w:left w:w="50" w:type="dxa"/>
              <w:right w:w="50" w:type="dxa"/>
            </w:tcMar>
          </w:tcPr>
          <w:p>
            <w:r>
              <w:rPr>
                <w:b/>
                <w:sz w:val="16"/>
              </w:rPr>
              <w:t>MAE = 1.74</w:t>
            </w:r>
          </w:p>
        </w:tc>
      </w:tr>
    </w:tbl>
    <w:p>
      <w:pPr>
        <w:pStyle w:val="Heading2"/>
        <w:keepNext/>
        <w:spacing w:before="280" w:after="100"/>
      </w:pPr>
      <w:r>
        <w:rPr>
          <w:rFonts w:ascii="Times New Roman" w:hAnsi="Times New Roman"/>
          <w:b/>
          <w:color w:val="AD1457"/>
          <w:sz w:val="22"/>
        </w:rPr>
        <w:t>3.3 OECD-Aligned Nano-QSAR Surrogate Modeling &amp; SHAP Interpretability</w:t>
      </w:r>
    </w:p>
    <w:p>
      <w:r>
        <w:t>To adhere strictly to OECD Principles 1–5, the regularized Ridge Nano-QSAR surrogate model was trained on four prespecified physicochemical descriptors (MW, PSA, Polarizability_alpha, and Electrophilicity_omega), yielding a robust sample-to-descriptor ratio n/p = 8.25. Under nested 5-fold cross-validation, the model achieved high predictive accuracy: nested Q²_CV = +0.612 (fold Q² range: 0.540–0.685; mean Q² = 0.612 +/- 0.058), RMSE = 4.78 kcal/mol, and MAE = 3.65 kcal/mol (Table 3). Y-scrambling permutation testing across 1,000 iterations produced a mean scrambled Q² of -0.230 with an empirical permutation p-value of 0.001 (p = 0.001), demonstrating that the observed predictive fidelity is statistically significant and cannot be attributed to chance correlation.</w:t>
      </w:r>
    </w:p>
    <w:p>
      <w:r>
        <w:t>The domain of applicability was established according to OECD Principle 3 via hat-matrix leverage analysis with a warning threshold h* = 3(p+1)/n = 0.455. As documented in Table 3, 32 of 33 training compounds (97.0%) fell safely within the applicability domain and within the +/-3sigma standardized residual boundary. Only Paclitaxel (hi = 0.462) slightly exceeded the leverage warning threshold due to its high molecular weight (MW = 853.9 g/mol), while remaining well within the +/-3sigma residual boundary. TreeSHAP game-theoretic feature attribution revealed that quantum polarizability (alpha, relative importance 42.5%) and global electrophilicity (omega, 28.1%) dominate nanocage interfacial binding, followed by molecular weight (MW, 16.8%) and polar surface area (PSA, 12.6%).</w:t>
      </w:r>
    </w:p>
    <w:p/>
    <w:p>
      <w:r>
        <w:rPr>
          <w:b/>
          <w:sz w:val="20"/>
        </w:rPr>
        <w:t>Table 3: Statistical Validation Metrics and OECD Alignment of the Regularized Ridge Nano-QSAR Surrogate Model for B36N36 Drug Delivery.</w:t>
      </w:r>
    </w:p>
    <w:tbl>
      <w:tblPr>
        <w:tblW w:type="auto" w:w="0"/>
        <w:jc w:val="center"/>
        <w:tblLook w:firstColumn="1" w:firstRow="1" w:lastColumn="0" w:lastRow="0" w:noHBand="0" w:noVBand="1" w:val="04A0"/>
      </w:tblPr>
      <w:tblGrid>
        <w:gridCol w:w="2340"/>
        <w:gridCol w:w="2340"/>
        <w:gridCol w:w="2340"/>
        <w:gridCol w:w="2340"/>
      </w:tblGrid>
      <w:tr>
        <w:tc>
          <w:tcPr>
            <w:tcW w:type="dxa" w:w="2340"/>
            <w:shd w:fill="880E4F"/>
            <w:tcMar>
              <w:top w:w="50" w:type="dxa"/>
              <w:bottom w:w="50" w:type="dxa"/>
              <w:left w:w="70" w:type="dxa"/>
              <w:right w:w="70" w:type="dxa"/>
            </w:tcMar>
          </w:tcPr>
          <w:p>
            <w:r>
              <w:rPr>
                <w:b/>
                <w:color w:val="FFFFFF"/>
                <w:sz w:val="16"/>
              </w:rPr>
              <w:t>Statistical Metric / Parameter</w:t>
            </w:r>
          </w:p>
        </w:tc>
        <w:tc>
          <w:tcPr>
            <w:tcW w:type="dxa" w:w="2340"/>
            <w:shd w:fill="880E4F"/>
            <w:tcMar>
              <w:top w:w="50" w:type="dxa"/>
              <w:bottom w:w="50" w:type="dxa"/>
              <w:left w:w="70" w:type="dxa"/>
              <w:right w:w="70" w:type="dxa"/>
            </w:tcMar>
          </w:tcPr>
          <w:p>
            <w:r>
              <w:rPr>
                <w:b/>
                <w:color w:val="FFFFFF"/>
                <w:sz w:val="16"/>
              </w:rPr>
              <w:t>Value / Result</w:t>
            </w:r>
          </w:p>
        </w:tc>
        <w:tc>
          <w:tcPr>
            <w:tcW w:type="dxa" w:w="2340"/>
            <w:shd w:fill="880E4F"/>
            <w:tcMar>
              <w:top w:w="50" w:type="dxa"/>
              <w:bottom w:w="50" w:type="dxa"/>
              <w:left w:w="70" w:type="dxa"/>
              <w:right w:w="70" w:type="dxa"/>
            </w:tcMar>
          </w:tcPr>
          <w:p>
            <w:r>
              <w:rPr>
                <w:b/>
                <w:color w:val="FFFFFF"/>
                <w:sz w:val="16"/>
              </w:rPr>
              <w:t>OECD Benchmark Criterion</w:t>
            </w:r>
          </w:p>
        </w:tc>
        <w:tc>
          <w:tcPr>
            <w:tcW w:type="dxa" w:w="2340"/>
            <w:shd w:fill="880E4F"/>
            <w:tcMar>
              <w:top w:w="50" w:type="dxa"/>
              <w:bottom w:w="50" w:type="dxa"/>
              <w:left w:w="70" w:type="dxa"/>
              <w:right w:w="70" w:type="dxa"/>
            </w:tcMar>
          </w:tcPr>
          <w:p>
            <w:r>
              <w:rPr>
                <w:b/>
                <w:color w:val="FFFFFF"/>
                <w:sz w:val="16"/>
              </w:rPr>
              <w:t>Compliance Status</w:t>
            </w:r>
          </w:p>
        </w:tc>
      </w:tr>
      <w:tr>
        <w:tc>
          <w:tcPr>
            <w:tcW w:type="dxa" w:w="2340"/>
            <w:tcMar>
              <w:top w:w="35" w:type="dxa"/>
              <w:bottom w:w="35" w:type="dxa"/>
              <w:left w:w="50" w:type="dxa"/>
              <w:right w:w="50" w:type="dxa"/>
            </w:tcMar>
          </w:tcPr>
          <w:p>
            <w:r>
              <w:rPr>
                <w:sz w:val="16"/>
              </w:rPr>
              <w:t>Cohort Size (n)</w:t>
            </w:r>
          </w:p>
        </w:tc>
        <w:tc>
          <w:tcPr>
            <w:tcW w:type="dxa" w:w="2340"/>
            <w:tcMar>
              <w:top w:w="35" w:type="dxa"/>
              <w:bottom w:w="35" w:type="dxa"/>
              <w:left w:w="50" w:type="dxa"/>
              <w:right w:w="50" w:type="dxa"/>
            </w:tcMar>
          </w:tcPr>
          <w:p>
            <w:r>
              <w:rPr>
                <w:sz w:val="16"/>
              </w:rPr>
              <w:t>33 curated oncology drugs</w:t>
            </w:r>
          </w:p>
        </w:tc>
        <w:tc>
          <w:tcPr>
            <w:tcW w:type="dxa" w:w="2340"/>
            <w:tcMar>
              <w:top w:w="35" w:type="dxa"/>
              <w:bottom w:w="35" w:type="dxa"/>
              <w:left w:w="50" w:type="dxa"/>
              <w:right w:w="50" w:type="dxa"/>
            </w:tcMar>
          </w:tcPr>
          <w:p>
            <w:r>
              <w:rPr>
                <w:sz w:val="16"/>
              </w:rPr>
              <w:t>n &gt;= 20 for surrogate ML</w:t>
            </w:r>
          </w:p>
        </w:tc>
        <w:tc>
          <w:tcPr>
            <w:tcW w:type="dxa" w:w="2340"/>
            <w:tcMar>
              <w:top w:w="35" w:type="dxa"/>
              <w:bottom w:w="35" w:type="dxa"/>
              <w:left w:w="50" w:type="dxa"/>
              <w:right w:w="50" w:type="dxa"/>
            </w:tcMar>
          </w:tcPr>
          <w:p>
            <w:r>
              <w:rPr>
                <w:sz w:val="16"/>
              </w:rPr>
              <w:t>Passed</w:t>
            </w:r>
          </w:p>
        </w:tc>
      </w:tr>
      <w:tr>
        <w:tc>
          <w:tcPr>
            <w:tcW w:type="dxa" w:w="2340"/>
            <w:tcMar>
              <w:top w:w="35" w:type="dxa"/>
              <w:bottom w:w="35" w:type="dxa"/>
              <w:left w:w="50" w:type="dxa"/>
              <w:right w:w="50" w:type="dxa"/>
            </w:tcMar>
          </w:tcPr>
          <w:p>
            <w:r>
              <w:rPr>
                <w:sz w:val="16"/>
              </w:rPr>
              <w:t>Prespecified Descriptors (p)</w:t>
            </w:r>
          </w:p>
        </w:tc>
        <w:tc>
          <w:tcPr>
            <w:tcW w:type="dxa" w:w="2340"/>
            <w:tcMar>
              <w:top w:w="35" w:type="dxa"/>
              <w:bottom w:w="35" w:type="dxa"/>
              <w:left w:w="50" w:type="dxa"/>
              <w:right w:w="50" w:type="dxa"/>
            </w:tcMar>
          </w:tcPr>
          <w:p>
            <w:r>
              <w:rPr>
                <w:sz w:val="16"/>
              </w:rPr>
              <w:t>4 (MW, PSA, alpha, omega)</w:t>
            </w:r>
          </w:p>
        </w:tc>
        <w:tc>
          <w:tcPr>
            <w:tcW w:type="dxa" w:w="2340"/>
            <w:tcMar>
              <w:top w:w="35" w:type="dxa"/>
              <w:bottom w:w="35" w:type="dxa"/>
              <w:left w:w="50" w:type="dxa"/>
              <w:right w:w="50" w:type="dxa"/>
            </w:tcMar>
          </w:tcPr>
          <w:p>
            <w:r>
              <w:rPr>
                <w:sz w:val="16"/>
              </w:rPr>
              <w:t>n/p &gt;= 5.0 (actual: 8.25)</w:t>
            </w:r>
          </w:p>
        </w:tc>
        <w:tc>
          <w:tcPr>
            <w:tcW w:type="dxa" w:w="2340"/>
            <w:tcMar>
              <w:top w:w="35" w:type="dxa"/>
              <w:bottom w:w="35" w:type="dxa"/>
              <w:left w:w="50" w:type="dxa"/>
              <w:right w:w="50" w:type="dxa"/>
            </w:tcMar>
          </w:tcPr>
          <w:p>
            <w:r>
              <w:rPr>
                <w:sz w:val="16"/>
              </w:rPr>
              <w:t>Passed</w:t>
            </w:r>
          </w:p>
        </w:tc>
      </w:tr>
      <w:tr>
        <w:tc>
          <w:tcPr>
            <w:tcW w:type="dxa" w:w="2340"/>
            <w:tcMar>
              <w:top w:w="35" w:type="dxa"/>
              <w:bottom w:w="35" w:type="dxa"/>
              <w:left w:w="50" w:type="dxa"/>
              <w:right w:w="50" w:type="dxa"/>
            </w:tcMar>
          </w:tcPr>
          <w:p>
            <w:r>
              <w:rPr>
                <w:sz w:val="16"/>
              </w:rPr>
              <w:t>Cross-Validation Protocol</w:t>
            </w:r>
          </w:p>
        </w:tc>
        <w:tc>
          <w:tcPr>
            <w:tcW w:type="dxa" w:w="2340"/>
            <w:tcMar>
              <w:top w:w="35" w:type="dxa"/>
              <w:bottom w:w="35" w:type="dxa"/>
              <w:left w:w="50" w:type="dxa"/>
              <w:right w:w="50" w:type="dxa"/>
            </w:tcMar>
          </w:tcPr>
          <w:p>
            <w:r>
              <w:rPr>
                <w:sz w:val="16"/>
              </w:rPr>
              <w:t>Nested 5-Fold CV (Outer Loop)</w:t>
            </w:r>
          </w:p>
        </w:tc>
        <w:tc>
          <w:tcPr>
            <w:tcW w:type="dxa" w:w="2340"/>
            <w:tcMar>
              <w:top w:w="35" w:type="dxa"/>
              <w:bottom w:w="35" w:type="dxa"/>
              <w:left w:w="50" w:type="dxa"/>
              <w:right w:w="50" w:type="dxa"/>
            </w:tcMar>
          </w:tcPr>
          <w:p>
            <w:r>
              <w:rPr>
                <w:sz w:val="16"/>
              </w:rPr>
              <w:t>Eliminates selection leakage</w:t>
            </w:r>
          </w:p>
        </w:tc>
        <w:tc>
          <w:tcPr>
            <w:tcW w:type="dxa" w:w="2340"/>
            <w:tcMar>
              <w:top w:w="35" w:type="dxa"/>
              <w:bottom w:w="35" w:type="dxa"/>
              <w:left w:w="50" w:type="dxa"/>
              <w:right w:w="50" w:type="dxa"/>
            </w:tcMar>
          </w:tcPr>
          <w:p>
            <w:r>
              <w:rPr>
                <w:sz w:val="16"/>
              </w:rPr>
              <w:t>Passed</w:t>
            </w:r>
          </w:p>
        </w:tc>
      </w:tr>
      <w:tr>
        <w:tc>
          <w:tcPr>
            <w:tcW w:type="dxa" w:w="2340"/>
            <w:tcMar>
              <w:top w:w="35" w:type="dxa"/>
              <w:bottom w:w="35" w:type="dxa"/>
              <w:left w:w="50" w:type="dxa"/>
              <w:right w:w="50" w:type="dxa"/>
            </w:tcMar>
          </w:tcPr>
          <w:p>
            <w:r>
              <w:rPr>
                <w:sz w:val="16"/>
              </w:rPr>
              <w:t>Nested Cross-Validated Q²_CV</w:t>
            </w:r>
          </w:p>
        </w:tc>
        <w:tc>
          <w:tcPr>
            <w:tcW w:type="dxa" w:w="2340"/>
            <w:tcMar>
              <w:top w:w="35" w:type="dxa"/>
              <w:bottom w:w="35" w:type="dxa"/>
              <w:left w:w="50" w:type="dxa"/>
              <w:right w:w="50" w:type="dxa"/>
            </w:tcMar>
          </w:tcPr>
          <w:p>
            <w:r>
              <w:rPr>
                <w:sz w:val="16"/>
              </w:rPr>
              <w:t>+0.612 (range: 0.540-0.685)</w:t>
            </w:r>
          </w:p>
        </w:tc>
        <w:tc>
          <w:tcPr>
            <w:tcW w:type="dxa" w:w="2340"/>
            <w:tcMar>
              <w:top w:w="35" w:type="dxa"/>
              <w:bottom w:w="35" w:type="dxa"/>
              <w:left w:w="50" w:type="dxa"/>
              <w:right w:w="50" w:type="dxa"/>
            </w:tcMar>
          </w:tcPr>
          <w:p>
            <w:r>
              <w:rPr>
                <w:sz w:val="16"/>
              </w:rPr>
              <w:t>Q²_CV &gt; 0.500 (OECD Principle 4)</w:t>
            </w:r>
          </w:p>
        </w:tc>
        <w:tc>
          <w:tcPr>
            <w:tcW w:type="dxa" w:w="2340"/>
            <w:tcMar>
              <w:top w:w="35" w:type="dxa"/>
              <w:bottom w:w="35" w:type="dxa"/>
              <w:left w:w="50" w:type="dxa"/>
              <w:right w:w="50" w:type="dxa"/>
            </w:tcMar>
          </w:tcPr>
          <w:p>
            <w:r>
              <w:rPr>
                <w:sz w:val="16"/>
              </w:rPr>
              <w:t>Passed</w:t>
            </w:r>
          </w:p>
        </w:tc>
      </w:tr>
      <w:tr>
        <w:tc>
          <w:tcPr>
            <w:tcW w:type="dxa" w:w="2340"/>
            <w:tcMar>
              <w:top w:w="35" w:type="dxa"/>
              <w:bottom w:w="35" w:type="dxa"/>
              <w:left w:w="50" w:type="dxa"/>
              <w:right w:w="50" w:type="dxa"/>
            </w:tcMar>
          </w:tcPr>
          <w:p>
            <w:r>
              <w:rPr>
                <w:sz w:val="16"/>
              </w:rPr>
              <w:t>Root-Mean-Square Error (RMSE)</w:t>
            </w:r>
          </w:p>
        </w:tc>
        <w:tc>
          <w:tcPr>
            <w:tcW w:type="dxa" w:w="2340"/>
            <w:tcMar>
              <w:top w:w="35" w:type="dxa"/>
              <w:bottom w:w="35" w:type="dxa"/>
              <w:left w:w="50" w:type="dxa"/>
              <w:right w:w="50" w:type="dxa"/>
            </w:tcMar>
          </w:tcPr>
          <w:p>
            <w:r>
              <w:rPr>
                <w:sz w:val="16"/>
              </w:rPr>
              <w:t>4.78 kcal/mol</w:t>
            </w:r>
          </w:p>
        </w:tc>
        <w:tc>
          <w:tcPr>
            <w:tcW w:type="dxa" w:w="2340"/>
            <w:tcMar>
              <w:top w:w="35" w:type="dxa"/>
              <w:bottom w:w="35" w:type="dxa"/>
              <w:left w:w="50" w:type="dxa"/>
              <w:right w:w="50" w:type="dxa"/>
            </w:tcMar>
          </w:tcPr>
          <w:p>
            <w:r>
              <w:rPr>
                <w:sz w:val="16"/>
              </w:rPr>
              <w:t>Low prediction error</w:t>
            </w:r>
          </w:p>
        </w:tc>
        <w:tc>
          <w:tcPr>
            <w:tcW w:type="dxa" w:w="2340"/>
            <w:tcMar>
              <w:top w:w="35" w:type="dxa"/>
              <w:bottom w:w="35" w:type="dxa"/>
              <w:left w:w="50" w:type="dxa"/>
              <w:right w:w="50" w:type="dxa"/>
            </w:tcMar>
          </w:tcPr>
          <w:p>
            <w:r>
              <w:rPr>
                <w:sz w:val="16"/>
              </w:rPr>
              <w:t>Passed</w:t>
            </w:r>
          </w:p>
        </w:tc>
      </w:tr>
      <w:tr>
        <w:tc>
          <w:tcPr>
            <w:tcW w:type="dxa" w:w="2340"/>
            <w:tcMar>
              <w:top w:w="35" w:type="dxa"/>
              <w:bottom w:w="35" w:type="dxa"/>
              <w:left w:w="50" w:type="dxa"/>
              <w:right w:w="50" w:type="dxa"/>
            </w:tcMar>
          </w:tcPr>
          <w:p>
            <w:r>
              <w:rPr>
                <w:sz w:val="16"/>
              </w:rPr>
              <w:t>Mean Absolute Error (MAE)</w:t>
            </w:r>
          </w:p>
        </w:tc>
        <w:tc>
          <w:tcPr>
            <w:tcW w:type="dxa" w:w="2340"/>
            <w:tcMar>
              <w:top w:w="35" w:type="dxa"/>
              <w:bottom w:w="35" w:type="dxa"/>
              <w:left w:w="50" w:type="dxa"/>
              <w:right w:w="50" w:type="dxa"/>
            </w:tcMar>
          </w:tcPr>
          <w:p>
            <w:r>
              <w:rPr>
                <w:sz w:val="16"/>
              </w:rPr>
              <w:t>3.65 kcal/mol</w:t>
            </w:r>
          </w:p>
        </w:tc>
        <w:tc>
          <w:tcPr>
            <w:tcW w:type="dxa" w:w="2340"/>
            <w:tcMar>
              <w:top w:w="35" w:type="dxa"/>
              <w:bottom w:w="35" w:type="dxa"/>
              <w:left w:w="50" w:type="dxa"/>
              <w:right w:w="50" w:type="dxa"/>
            </w:tcMar>
          </w:tcPr>
          <w:p>
            <w:r>
              <w:rPr>
                <w:sz w:val="16"/>
              </w:rPr>
              <w:t>Low prediction error</w:t>
            </w:r>
          </w:p>
        </w:tc>
        <w:tc>
          <w:tcPr>
            <w:tcW w:type="dxa" w:w="2340"/>
            <w:tcMar>
              <w:top w:w="35" w:type="dxa"/>
              <w:bottom w:w="35" w:type="dxa"/>
              <w:left w:w="50" w:type="dxa"/>
              <w:right w:w="50" w:type="dxa"/>
            </w:tcMar>
          </w:tcPr>
          <w:p>
            <w:r>
              <w:rPr>
                <w:sz w:val="16"/>
              </w:rPr>
              <w:t>Passed</w:t>
            </w:r>
          </w:p>
        </w:tc>
      </w:tr>
      <w:tr>
        <w:tc>
          <w:tcPr>
            <w:tcW w:type="dxa" w:w="2340"/>
            <w:tcMar>
              <w:top w:w="35" w:type="dxa"/>
              <w:bottom w:w="35" w:type="dxa"/>
              <w:left w:w="50" w:type="dxa"/>
              <w:right w:w="50" w:type="dxa"/>
            </w:tcMar>
          </w:tcPr>
          <w:p>
            <w:r>
              <w:rPr>
                <w:sz w:val="16"/>
              </w:rPr>
              <w:t>Y-Scrambling Permutations (1,000 runs)</w:t>
            </w:r>
          </w:p>
        </w:tc>
        <w:tc>
          <w:tcPr>
            <w:tcW w:type="dxa" w:w="2340"/>
            <w:tcMar>
              <w:top w:w="35" w:type="dxa"/>
              <w:bottom w:w="35" w:type="dxa"/>
              <w:left w:w="50" w:type="dxa"/>
              <w:right w:w="50" w:type="dxa"/>
            </w:tcMar>
          </w:tcPr>
          <w:p>
            <w:r>
              <w:rPr>
                <w:sz w:val="16"/>
              </w:rPr>
              <w:t>Mean Q²_scrambled = -0.230</w:t>
            </w:r>
          </w:p>
        </w:tc>
        <w:tc>
          <w:tcPr>
            <w:tcW w:type="dxa" w:w="2340"/>
            <w:tcMar>
              <w:top w:w="35" w:type="dxa"/>
              <w:bottom w:w="35" w:type="dxa"/>
              <w:left w:w="50" w:type="dxa"/>
              <w:right w:w="50" w:type="dxa"/>
            </w:tcMar>
          </w:tcPr>
          <w:p>
            <w:r>
              <w:rPr>
                <w:sz w:val="16"/>
              </w:rPr>
              <w:t>Q²_scrambled &lt;&lt; Q²_CV</w:t>
            </w:r>
          </w:p>
        </w:tc>
        <w:tc>
          <w:tcPr>
            <w:tcW w:type="dxa" w:w="2340"/>
            <w:tcMar>
              <w:top w:w="35" w:type="dxa"/>
              <w:bottom w:w="35" w:type="dxa"/>
              <w:left w:w="50" w:type="dxa"/>
              <w:right w:w="50" w:type="dxa"/>
            </w:tcMar>
          </w:tcPr>
          <w:p>
            <w:r>
              <w:rPr>
                <w:sz w:val="16"/>
              </w:rPr>
              <w:t>Passed</w:t>
            </w:r>
          </w:p>
        </w:tc>
      </w:tr>
      <w:tr>
        <w:tc>
          <w:tcPr>
            <w:tcW w:type="dxa" w:w="2340"/>
            <w:tcMar>
              <w:top w:w="35" w:type="dxa"/>
              <w:bottom w:w="35" w:type="dxa"/>
              <w:left w:w="50" w:type="dxa"/>
              <w:right w:w="50" w:type="dxa"/>
            </w:tcMar>
          </w:tcPr>
          <w:p>
            <w:r>
              <w:rPr>
                <w:sz w:val="16"/>
              </w:rPr>
              <w:t>Empirical Permutation p-value</w:t>
            </w:r>
          </w:p>
        </w:tc>
        <w:tc>
          <w:tcPr>
            <w:tcW w:type="dxa" w:w="2340"/>
            <w:tcMar>
              <w:top w:w="35" w:type="dxa"/>
              <w:bottom w:w="35" w:type="dxa"/>
              <w:left w:w="50" w:type="dxa"/>
              <w:right w:w="50" w:type="dxa"/>
            </w:tcMar>
          </w:tcPr>
          <w:p>
            <w:r>
              <w:rPr>
                <w:sz w:val="16"/>
              </w:rPr>
              <w:t>p = 0.001 (0/1000 &gt;= 0.612)</w:t>
            </w:r>
          </w:p>
        </w:tc>
        <w:tc>
          <w:tcPr>
            <w:tcW w:type="dxa" w:w="2340"/>
            <w:tcMar>
              <w:top w:w="35" w:type="dxa"/>
              <w:bottom w:w="35" w:type="dxa"/>
              <w:left w:w="50" w:type="dxa"/>
              <w:right w:w="50" w:type="dxa"/>
            </w:tcMar>
          </w:tcPr>
          <w:p>
            <w:r>
              <w:rPr>
                <w:sz w:val="16"/>
              </w:rPr>
              <w:t>p &lt; 0.01 (No chance correlation)</w:t>
            </w:r>
          </w:p>
        </w:tc>
        <w:tc>
          <w:tcPr>
            <w:tcW w:type="dxa" w:w="2340"/>
            <w:tcMar>
              <w:top w:w="35" w:type="dxa"/>
              <w:bottom w:w="35" w:type="dxa"/>
              <w:left w:w="50" w:type="dxa"/>
              <w:right w:w="50" w:type="dxa"/>
            </w:tcMar>
          </w:tcPr>
          <w:p>
            <w:r>
              <w:rPr>
                <w:sz w:val="16"/>
              </w:rPr>
              <w:t>Passed</w:t>
            </w:r>
          </w:p>
        </w:tc>
      </w:tr>
      <w:tr>
        <w:tc>
          <w:tcPr>
            <w:tcW w:type="dxa" w:w="2340"/>
            <w:tcMar>
              <w:top w:w="35" w:type="dxa"/>
              <w:bottom w:w="35" w:type="dxa"/>
              <w:left w:w="50" w:type="dxa"/>
              <w:right w:w="50" w:type="dxa"/>
            </w:tcMar>
          </w:tcPr>
          <w:p>
            <w:r>
              <w:rPr>
                <w:sz w:val="16"/>
              </w:rPr>
              <w:t>Williams Warning Leverage (h*)</w:t>
            </w:r>
          </w:p>
        </w:tc>
        <w:tc>
          <w:tcPr>
            <w:tcW w:type="dxa" w:w="2340"/>
            <w:tcMar>
              <w:top w:w="35" w:type="dxa"/>
              <w:bottom w:w="35" w:type="dxa"/>
              <w:left w:w="50" w:type="dxa"/>
              <w:right w:w="50" w:type="dxa"/>
            </w:tcMar>
          </w:tcPr>
          <w:p>
            <w:r>
              <w:rPr>
                <w:sz w:val="16"/>
              </w:rPr>
              <w:t>h* = 15/33 = 0.455</w:t>
            </w:r>
          </w:p>
        </w:tc>
        <w:tc>
          <w:tcPr>
            <w:tcW w:type="dxa" w:w="2340"/>
            <w:tcMar>
              <w:top w:w="35" w:type="dxa"/>
              <w:bottom w:w="35" w:type="dxa"/>
              <w:left w:w="50" w:type="dxa"/>
              <w:right w:w="50" w:type="dxa"/>
            </w:tcMar>
          </w:tcPr>
          <w:p>
            <w:r>
              <w:rPr>
                <w:sz w:val="16"/>
              </w:rPr>
              <w:t>OECD Principle 3 Applicability Domain</w:t>
            </w:r>
          </w:p>
        </w:tc>
        <w:tc>
          <w:tcPr>
            <w:tcW w:type="dxa" w:w="2340"/>
            <w:tcMar>
              <w:top w:w="35" w:type="dxa"/>
              <w:bottom w:w="35" w:type="dxa"/>
              <w:left w:w="50" w:type="dxa"/>
              <w:right w:w="50" w:type="dxa"/>
            </w:tcMar>
          </w:tcPr>
          <w:p>
            <w:r>
              <w:rPr>
                <w:sz w:val="16"/>
              </w:rPr>
              <w:t>Passed</w:t>
            </w:r>
          </w:p>
        </w:tc>
      </w:tr>
      <w:tr>
        <w:tc>
          <w:tcPr>
            <w:tcW w:type="dxa" w:w="2340"/>
            <w:tcMar>
              <w:top w:w="35" w:type="dxa"/>
              <w:bottom w:w="35" w:type="dxa"/>
              <w:left w:w="50" w:type="dxa"/>
              <w:right w:w="50" w:type="dxa"/>
            </w:tcMar>
          </w:tcPr>
          <w:p>
            <w:r>
              <w:rPr>
                <w:sz w:val="16"/>
              </w:rPr>
              <w:t>Applicability Domain Coverage</w:t>
            </w:r>
          </w:p>
        </w:tc>
        <w:tc>
          <w:tcPr>
            <w:tcW w:type="dxa" w:w="2340"/>
            <w:tcMar>
              <w:top w:w="35" w:type="dxa"/>
              <w:bottom w:w="35" w:type="dxa"/>
              <w:left w:w="50" w:type="dxa"/>
              <w:right w:w="50" w:type="dxa"/>
            </w:tcMar>
          </w:tcPr>
          <w:p>
            <w:r>
              <w:rPr>
                <w:sz w:val="16"/>
              </w:rPr>
              <w:t>32 / 33 compounds (97.0%)</w:t>
            </w:r>
          </w:p>
        </w:tc>
        <w:tc>
          <w:tcPr>
            <w:tcW w:type="dxa" w:w="2340"/>
            <w:tcMar>
              <w:top w:w="35" w:type="dxa"/>
              <w:bottom w:w="35" w:type="dxa"/>
              <w:left w:w="50" w:type="dxa"/>
              <w:right w:w="50" w:type="dxa"/>
            </w:tcMar>
          </w:tcPr>
          <w:p>
            <w:r>
              <w:rPr>
                <w:sz w:val="16"/>
              </w:rPr>
              <w:t>Coverage &gt; 95%</w:t>
            </w:r>
          </w:p>
        </w:tc>
        <w:tc>
          <w:tcPr>
            <w:tcW w:type="dxa" w:w="2340"/>
            <w:tcMar>
              <w:top w:w="35" w:type="dxa"/>
              <w:bottom w:w="35" w:type="dxa"/>
              <w:left w:w="50" w:type="dxa"/>
              <w:right w:w="50" w:type="dxa"/>
            </w:tcMar>
          </w:tcPr>
          <w:p>
            <w:r>
              <w:rPr>
                <w:sz w:val="16"/>
              </w:rPr>
              <w:t>Passed</w:t>
            </w:r>
          </w:p>
        </w:tc>
      </w:tr>
    </w:tbl>
    <w:p>
      <w:pPr>
        <w:pStyle w:val="Heading2"/>
        <w:keepNext/>
        <w:spacing w:before="280" w:after="100"/>
      </w:pPr>
      <w:r>
        <w:rPr>
          <w:rFonts w:ascii="Times New Roman" w:hAnsi="Times New Roman"/>
          <w:b/>
          <w:color w:val="AD1457"/>
          <w:sz w:val="22"/>
        </w:rPr>
        <w:t>3.4 Critical Translational Limitations</w:t>
      </w:r>
    </w:p>
    <w:p>
      <w:r>
        <w:t>While multi-scale computational modeling provides detailed atomistic and electronic insights into drug-nanocarrier loading and target engagement, several key translational limitations must be explicitly acknowledged: (1) Gas-Phase / Implicit Continuum Approximation: Standardized electronic interaction energies (Delta_E_int,std) are evaluated at a fixed surface separation (d_surf = 3.30 Å) in gas phase or implicit continuum; under physiological conditions, drug loading and release involve competition with water hydration shells, ionic strength effects, and protein corona formation in human serum [20, 24]. (2) Rigid Receptor Approximation: AutoDock Vina docking on human PARP1 (PDB ID: 4UND) treats the protein backbone as rigid, which does not capture induced-fit conformational adjustments of catalytic loops upon ligand binding; future molecular dynamics (MD) simulations will be required to explore conformational plasticity. (3) Zero-Dimensional Nanocage Biocompatibility &amp; Biodistribution: Although boron nitride nanostructures exhibit favorable chemical inertness, in-vivo systemic clearance, reticuloendothelial system (RES) organ accumulation, and potential long-term biocompatibility must be evaluated in preclinical animal models. (4) Experimental Validation Requirements: Overcoming dense tumor microenvironments and translating B36N36-mediated delivery into clinical practice will require future in-vitro 3D TNBC spheroid cytotoxicity assays, cellular uptake quantification via flow cytometry, and in-vivo pharmacokinetic/pharmacodynamic studies in patient-derived xenograft (PDX) mouse models.</w:t>
      </w:r>
    </w:p>
    <w:p>
      <w:pPr>
        <w:pStyle w:val="Heading1"/>
        <w:keepNext/>
        <w:spacing w:before="280" w:after="100"/>
      </w:pPr>
      <w:r>
        <w:rPr>
          <w:rFonts w:ascii="Times New Roman" w:hAnsi="Times New Roman"/>
          <w:b/>
          <w:color w:val="880E4F"/>
          <w:sz w:val="26"/>
        </w:rPr>
        <w:t>4. Conclusions</w:t>
      </w:r>
    </w:p>
    <w:p>
      <w:r>
        <w:t>In this study, we established an integrated computational chemistry, crystallographic docking, and Explainable Nano-QSAR surrogate modeling framework evaluating inorganic Boron Nitride Nanocages (B36N36) for targeted therapeutics delivery in triple-negative breast cancer (TNBC). Our findings demonstrate that: (1) Macromolecular docking against the ultra-high resolution crystal structure of human PARP1 (PDB ID: 4UND, 2.20 Å resolution) successfully reproduces the native Talazoparib binding pose (PDB chemical component ID: 2YQ) with 1.28 Å RMSD, validating docking protocol pose-recovery fidelity; (2) Tight-binding quantum calculations (GFN2-xTB with D4 dispersion) across N=33 curated therapeutics confirm robust non-covalent loading (Delta_E_int,std = -21.50 to -42.10 kcal/mol), with monocarboxylation (B36N36-COOH) providing systematic interfacial stabilization without structural deformation; (3) Multi-level quantum benchmarking against dispersion-corrected DFT single-point reference calculations (ORCA 6.1.1, B3LYP-D3BJ/def2-SVP) confirms strong rank preservation (Spearman rho = 0.94, p = 0.0002; MAE = 1.74 kcal/mol); (4) A leak-free regularized Ridge Nano-QSAR surrogate model structured under OECD Principles 1–5 achieved robust out-of-fold predictive fidelity (nested Q²_CV = +0.612, RMSE = 4.78 kcal/mol, MAE = 3.65 kcal/mol), confirmed immune to chance correlation via 1,000 Y-scrambling iterations (p = 0.001) within a defined applicability domain (h* = 0.455). This work establishes an auditable, reproducible theoretical foundation for inorganic nanocage-based drug delivery in precision oncology.</w:t>
      </w:r>
    </w:p>
    <w:p>
      <w:pPr>
        <w:pStyle w:val="Heading1"/>
        <w:keepNext/>
        <w:spacing w:before="280" w:after="100"/>
      </w:pPr>
      <w:r>
        <w:rPr>
          <w:rFonts w:ascii="Times New Roman" w:hAnsi="Times New Roman"/>
          <w:b/>
          <w:color w:val="880E4F"/>
          <w:sz w:val="26"/>
        </w:rPr>
        <w:t>Data and Code Availability</w:t>
      </w:r>
    </w:p>
    <w:p>
      <w:r>
        <w:t>All computational scripts, raw docking coordinates (PDBQT), quantum chemistry inputs and logs (GFN2-xTB and ORCA 6.1.1), descriptor matrices, and surrogate QSAR models are fully open-source and reproducible under the MIT license via the project repository:</w:t>
        <w:br/>
        <w:t>• Primary Public Repository: https://github.com/sircalch/nano-qsar-ai-therapeutics (Release v1.0.0, Git commit SHA: c3c163a)</w:t>
        <w:br/>
        <w:t>• Permanent Archival DOI: Zenodo Repository DOI: 10.5281/zenodo.22187873</w:t>
      </w:r>
    </w:p>
    <w:p>
      <w:pPr>
        <w:pStyle w:val="Heading1"/>
        <w:keepNext/>
        <w:spacing w:before="280" w:after="100"/>
      </w:pPr>
      <w:r>
        <w:rPr>
          <w:rFonts w:ascii="Times New Roman" w:hAnsi="Times New Roman"/>
          <w:b/>
          <w:color w:val="880E4F"/>
          <w:sz w:val="26"/>
        </w:rPr>
        <w:t>Conflict of Interest</w:t>
      </w:r>
    </w:p>
    <w:p>
      <w:r>
        <w:t>The authors declare no competing financial or non-financial interests.</w:t>
      </w:r>
    </w:p>
    <w:p>
      <w:pPr>
        <w:pStyle w:val="Heading1"/>
        <w:keepNext/>
        <w:spacing w:before="280" w:after="100"/>
      </w:pPr>
      <w:r>
        <w:rPr>
          <w:rFonts w:ascii="Times New Roman" w:hAnsi="Times New Roman"/>
          <w:b/>
          <w:color w:val="880E4F"/>
          <w:sz w:val="26"/>
        </w:rPr>
        <w:t>References</w:t>
      </w:r>
    </w:p>
    <w:p>
      <w:pPr>
        <w:spacing w:after="60"/>
        <w:ind w:left="576"/>
      </w:pPr>
      <w:r>
        <w:rPr>
          <w:b/>
        </w:rPr>
        <w:t xml:space="preserve">1. </w:t>
      </w:r>
      <w:r>
        <w:t xml:space="preserve">Giaquinto, A. N.; Sung, H.; Miller, K. D.; Kramer, J. L.; Newman, L. A.; Minihan, A.; Jemal, A.; Siegel, R. L. Breast cancer statistics, 2022. CA Cancer J. Clin. 2022, 72 (3), 202–229. </w:t>
      </w:r>
      <w:r>
        <w:rPr>
          <w:i/>
          <w:color w:val="880E4F"/>
          <w:sz w:val="18"/>
        </w:rPr>
        <w:t>doi:10.3322/caac.21718</w:t>
      </w:r>
    </w:p>
    <w:p>
      <w:pPr>
        <w:spacing w:after="60"/>
        <w:ind w:left="576"/>
      </w:pPr>
      <w:r>
        <w:rPr>
          <w:b/>
        </w:rPr>
        <w:t xml:space="preserve">2. </w:t>
      </w:r>
      <w:r>
        <w:t xml:space="preserve">Foulkes, W. D.; Smith, I. E.; Reis-Filho, J. S. Triple-negative breast cancer. N. Engl. J. Med. 2010, 363 (20), 1938–1948. </w:t>
      </w:r>
      <w:r>
        <w:rPr>
          <w:i/>
          <w:color w:val="880E4F"/>
          <w:sz w:val="18"/>
        </w:rPr>
        <w:t>doi:10.1056/NEJMra1001389</w:t>
      </w:r>
    </w:p>
    <w:p>
      <w:pPr>
        <w:spacing w:after="60"/>
        <w:ind w:left="576"/>
      </w:pPr>
      <w:r>
        <w:rPr>
          <w:b/>
        </w:rPr>
        <w:t xml:space="preserve">3. </w:t>
      </w:r>
      <w:r>
        <w:t xml:space="preserve">Lord, C. J.; Ashworth, A. PARP inhibitors: Synthetic lethality in the clinic. Science 2017, 355 (6330), 1152–1158. </w:t>
      </w:r>
      <w:r>
        <w:rPr>
          <w:i/>
          <w:color w:val="880E4F"/>
          <w:sz w:val="18"/>
        </w:rPr>
        <w:t>doi:10.1126/science.aam7344</w:t>
      </w:r>
    </w:p>
    <w:p>
      <w:pPr>
        <w:spacing w:after="60"/>
        <w:ind w:left="576"/>
      </w:pPr>
      <w:r>
        <w:rPr>
          <w:b/>
        </w:rPr>
        <w:t xml:space="preserve">4. </w:t>
      </w:r>
      <w:r>
        <w:t xml:space="preserve">Mateo, J.; Lord, C. J.; Serra, V.; Tutt, A.; Balmaña, J.; Castroviejo-Bermejo, M.; Cruz, C.; Oaknin, A.; Kaye, S. B.; de Bono, J. S. A decade of clinical development of PARP inhibitors in perspective. Nat. Rev. Clin. Oncol. 2019, 16 (9), 565–583. </w:t>
      </w:r>
      <w:r>
        <w:rPr>
          <w:i/>
          <w:color w:val="880E4F"/>
          <w:sz w:val="18"/>
        </w:rPr>
        <w:t>doi:10.1038/s41571-019-0219-4</w:t>
      </w:r>
    </w:p>
    <w:p>
      <w:pPr>
        <w:spacing w:after="60"/>
        <w:ind w:left="576"/>
      </w:pPr>
      <w:r>
        <w:rPr>
          <w:b/>
        </w:rPr>
        <w:t xml:space="preserve">5. </w:t>
      </w:r>
      <w:r>
        <w:t xml:space="preserve">Robson, M.; Im, S.-A.; Senkus, E.; Xu, B.; Domchek, S. M.; Masuda, N.; Delaloge, S.; Li, W.; Tung, N.; Armstrong, A. et al. Olaparib for metastatic breast cancer in patients with a germline BRCA mutation. N. Engl. J. Med. 2017, 377 (6), 523–533. </w:t>
      </w:r>
      <w:r>
        <w:rPr>
          <w:i/>
          <w:color w:val="880E4F"/>
          <w:sz w:val="18"/>
        </w:rPr>
        <w:t>doi:10.1056/NEJMoa1706450</w:t>
      </w:r>
    </w:p>
    <w:p>
      <w:pPr>
        <w:spacing w:after="60"/>
        <w:ind w:left="576"/>
      </w:pPr>
      <w:r>
        <w:rPr>
          <w:b/>
        </w:rPr>
        <w:t xml:space="preserve">6. </w:t>
      </w:r>
      <w:r>
        <w:t xml:space="preserve">Litton, J. K.; Rugo, H. S.; Ettl, J.; Hurvitz, S. A.; Gonçalves, A.; Lee, K.-H.; Fehrenbacher, L.; Yerushalmi, R.; Mina, L. A.; Martin, M. et al. Talazoparib in patients with advanced breast cancer and a germline BRCA mutation. N. Engl. J. Med. 2018, 379 (8), 753–763. </w:t>
      </w:r>
      <w:r>
        <w:rPr>
          <w:i/>
          <w:color w:val="880E4F"/>
          <w:sz w:val="18"/>
        </w:rPr>
        <w:t>doi:10.1056/NEJMoa1802905</w:t>
      </w:r>
    </w:p>
    <w:p>
      <w:pPr>
        <w:spacing w:after="60"/>
        <w:ind w:left="576"/>
      </w:pPr>
      <w:r>
        <w:rPr>
          <w:b/>
        </w:rPr>
        <w:t xml:space="preserve">7. </w:t>
      </w:r>
      <w:r>
        <w:t xml:space="preserve">Dent, R.; Trudeau, M.; Pritchard, K. I.; Hanna, W. M.; Kahn, H. K.; Sawka, C. A.; Lickley, L. A.; Rawlinson, E.; Sun, P.; Narod, S. A. Triple-negative breast cancer: clinical features and patterns of recurrence. Clin. Cancer Res. 2007, 13 (15), 4429–4434. </w:t>
      </w:r>
      <w:r>
        <w:rPr>
          <w:i/>
          <w:color w:val="880E4F"/>
          <w:sz w:val="18"/>
        </w:rPr>
        <w:t>doi:10.1158/1078-0432.CCR-06-3045</w:t>
      </w:r>
    </w:p>
    <w:p>
      <w:pPr>
        <w:spacing w:after="60"/>
        <w:ind w:left="576"/>
      </w:pPr>
      <w:r>
        <w:rPr>
          <w:b/>
        </w:rPr>
        <w:t xml:space="preserve">8. </w:t>
      </w:r>
      <w:r>
        <w:t xml:space="preserve">Lehmann, B. D.; Bauer, J. A.; Chen, X.; Sanders, M. E.; Chakravarthy, A. B.; Shyr, Y.; Pietenpol, J. A. Identification of human triple-negative breast cancer subtypes and preclinical models for selection of targeted therapies. J. Clin. Invest. 2011, 121 (7), 2750–2767. </w:t>
      </w:r>
      <w:r>
        <w:rPr>
          <w:i/>
          <w:color w:val="880E4F"/>
          <w:sz w:val="18"/>
        </w:rPr>
        <w:t>doi:10.1172/JCI45014</w:t>
      </w:r>
    </w:p>
    <w:p>
      <w:pPr>
        <w:spacing w:after="60"/>
        <w:ind w:left="576"/>
      </w:pPr>
      <w:r>
        <w:rPr>
          <w:b/>
        </w:rPr>
        <w:t xml:space="preserve">9. </w:t>
      </w:r>
      <w:r>
        <w:t xml:space="preserve">Bianchini, G.; Balko, J. M.; Mayer, I. A.; Sanders, M. E.; Gianni, L. Triple-negative breast cancer: challenges and emerging therapeutic strategies. Nat. Rev. Clin. Oncol. 2016, 13 (11), 674–690. </w:t>
      </w:r>
      <w:r>
        <w:rPr>
          <w:i/>
          <w:color w:val="880E4F"/>
          <w:sz w:val="18"/>
        </w:rPr>
        <w:t>doi:10.1038/nrclinonc.2016.66</w:t>
      </w:r>
    </w:p>
    <w:p>
      <w:pPr>
        <w:spacing w:after="60"/>
        <w:ind w:left="576"/>
      </w:pPr>
      <w:r>
        <w:rPr>
          <w:b/>
        </w:rPr>
        <w:t xml:space="preserve">10. </w:t>
      </w:r>
      <w:r>
        <w:t xml:space="preserve">Pommier, Y.; O'Connor, M. J.; de Bono, J. Laying a trap to kill cancer cells: PARP inhibitors and their mechanisms of action. Sci. Transl. Med. 2016, 8 (362), 362ps17. </w:t>
      </w:r>
      <w:r>
        <w:rPr>
          <w:i/>
          <w:color w:val="880E4F"/>
          <w:sz w:val="18"/>
        </w:rPr>
        <w:t>doi:10.1126/scitranslmed.aaf9246</w:t>
      </w:r>
    </w:p>
    <w:p>
      <w:pPr>
        <w:spacing w:after="60"/>
        <w:ind w:left="576"/>
      </w:pPr>
      <w:r>
        <w:rPr>
          <w:b/>
        </w:rPr>
        <w:t xml:space="preserve">11. </w:t>
      </w:r>
      <w:r>
        <w:t xml:space="preserve">Ciofani, G.; Genchi, G. G.; Liakos, I.; Athanassiou, A.; Dinucci, D.; Chiellini, F.; Mattoli, V. Human cervical and alveolar carcinoma cells response to boron nitride nanotubes: A comparative study. Nanomedicine 2012, 8 (4), 522–530. </w:t>
      </w:r>
      <w:r>
        <w:rPr>
          <w:i/>
          <w:color w:val="880E4F"/>
          <w:sz w:val="18"/>
        </w:rPr>
        <w:t>doi:10.1016/j.nano.2011.07.009</w:t>
      </w:r>
    </w:p>
    <w:p>
      <w:pPr>
        <w:spacing w:after="60"/>
        <w:ind w:left="576"/>
      </w:pPr>
      <w:r>
        <w:rPr>
          <w:b/>
        </w:rPr>
        <w:t xml:space="preserve">12. </w:t>
      </w:r>
      <w:r>
        <w:t xml:space="preserve">Golberg, D.; Bando, Y.; Huang, Y.; Terao, T.; Mitome, M.; Tang, C.; Zhi, C. Boron nitride nanotubes and nanosheets. ACS Nano 2010, 4 (6), 2979–2993. </w:t>
      </w:r>
      <w:r>
        <w:rPr>
          <w:i/>
          <w:color w:val="880E4F"/>
          <w:sz w:val="18"/>
        </w:rPr>
        <w:t>doi:10.1021/nn1006495</w:t>
      </w:r>
    </w:p>
    <w:p>
      <w:pPr>
        <w:spacing w:after="60"/>
        <w:ind w:left="576"/>
      </w:pPr>
      <w:r>
        <w:rPr>
          <w:b/>
        </w:rPr>
        <w:t xml:space="preserve">13. </w:t>
      </w:r>
      <w:r>
        <w:t xml:space="preserve">Ferreira, F. V.; Franceschi, W.; Menezes, B. R. C.; Biagio, P. R.; Coutinho, A. R. Synthesis, functionalization, and applications of carbon and boron nitride nanomaterials in drug delivery. J. Mater. Chem. B 2015, 3 (40), 8000–8018. </w:t>
      </w:r>
      <w:r>
        <w:rPr>
          <w:i/>
          <w:color w:val="880E4F"/>
          <w:sz w:val="18"/>
        </w:rPr>
        <w:t>doi:10.1039/C5TB01185H</w:t>
      </w:r>
    </w:p>
    <w:p>
      <w:pPr>
        <w:spacing w:after="60"/>
        <w:ind w:left="576"/>
      </w:pPr>
      <w:r>
        <w:rPr>
          <w:b/>
        </w:rPr>
        <w:t xml:space="preserve">14. </w:t>
      </w:r>
      <w:r>
        <w:t xml:space="preserve">Chen, X.; Wu, P.; Rousseas, M.; Okawa, D.; Gartner, Z.; Zettl, A.; Bertozzi, C. R. Boron nitride nanotubes are noncytotoxic and can be functionalized for targeted drug delivery. J. Am. Chem. Soc. 2016, 131 (3), 890–891. </w:t>
      </w:r>
      <w:r>
        <w:rPr>
          <w:i/>
          <w:color w:val="880E4F"/>
          <w:sz w:val="18"/>
        </w:rPr>
        <w:t>doi:10.1021/ja807334b</w:t>
      </w:r>
    </w:p>
    <w:p>
      <w:pPr>
        <w:spacing w:after="60"/>
        <w:ind w:left="576"/>
      </w:pPr>
      <w:r>
        <w:rPr>
          <w:b/>
        </w:rPr>
        <w:t xml:space="preserve">15. </w:t>
      </w:r>
      <w:r>
        <w:t xml:space="preserve">Robles-Hernández, J.-S.-L.; Medina, D. I.; Salcedo, R.; Miralrio, A. Quantum and machine learning-guided QSAR/QSPR modeling of therapeutics conjugated to functionalized fullerenes for enhanced anticancer drug delivery. Beilstein J. Nanotechnol. 2024, 15, 1170–1188. </w:t>
      </w:r>
      <w:r>
        <w:rPr>
          <w:i/>
          <w:color w:val="880E4F"/>
          <w:sz w:val="18"/>
        </w:rPr>
        <w:t>doi:10.3762/bjnano.15.96</w:t>
      </w:r>
    </w:p>
    <w:p>
      <w:pPr>
        <w:spacing w:after="60"/>
        <w:ind w:left="576"/>
      </w:pPr>
      <w:r>
        <w:rPr>
          <w:b/>
        </w:rPr>
        <w:t xml:space="preserve">16. </w:t>
      </w:r>
      <w:r>
        <w:t xml:space="preserve">Mukherjee, S.; Roy, S.; Sarkar, A. Structural, electronic, and adsorption properties of pristine and functionalized B36N36 nanocages for drug delivery applications: A DFT perspective. Phys. Chem. Chem. Phys. 2019, 21 (14), 7480–7492. </w:t>
      </w:r>
      <w:r>
        <w:rPr>
          <w:i/>
          <w:color w:val="880E4F"/>
          <w:sz w:val="18"/>
        </w:rPr>
        <w:t>doi:10.1039/C8CP07641A</w:t>
      </w:r>
    </w:p>
    <w:p>
      <w:pPr>
        <w:spacing w:after="60"/>
        <w:ind w:left="576"/>
      </w:pPr>
      <w:r>
        <w:rPr>
          <w:b/>
        </w:rPr>
        <w:t xml:space="preserve">17. </w:t>
      </w:r>
      <w:r>
        <w:t xml:space="preserve">Gao, Z.; Zhi, C.; Bando, Y.; Golberg, D.; Serizawa, T. Noncovalent functionalization of boron nitride nanosheets with hydrophilic polymers for enhanced biocompatibility and cellular uptake. ACS Appl. Mater. Interfaces 2017, 9 (6), 4988–4996. </w:t>
      </w:r>
      <w:r>
        <w:rPr>
          <w:i/>
          <w:color w:val="880E4F"/>
          <w:sz w:val="18"/>
        </w:rPr>
        <w:t>doi:10.1021/acsami.6b14644</w:t>
      </w:r>
    </w:p>
    <w:p>
      <w:pPr>
        <w:spacing w:after="60"/>
        <w:ind w:left="576"/>
      </w:pPr>
      <w:r>
        <w:rPr>
          <w:b/>
        </w:rPr>
        <w:t xml:space="preserve">18. </w:t>
      </w:r>
      <w:r>
        <w:t xml:space="preserve">Weng, Q.; Wang, X.; Bando, Y.; Golberg, D. Functionalized hexagonal boron nitride nanomaterials: emerging properties and applications. Chem. Soc. Rev. 2016, 45 (14), 3989–4012. </w:t>
      </w:r>
      <w:r>
        <w:rPr>
          <w:i/>
          <w:color w:val="880E4F"/>
          <w:sz w:val="18"/>
        </w:rPr>
        <w:t>doi:10.1039/C5CS00869G</w:t>
      </w:r>
    </w:p>
    <w:p>
      <w:pPr>
        <w:spacing w:after="60"/>
        <w:ind w:left="576"/>
      </w:pPr>
      <w:r>
        <w:rPr>
          <w:b/>
        </w:rPr>
        <w:t xml:space="preserve">19. </w:t>
      </w:r>
      <w:r>
        <w:t xml:space="preserve">Emanet, M.; Sen, O.; Çulha, M. Evaluation of biocompatibility and cellular interaction of boron nitride nanoparticles on mammalian cells. Nanotechnology 2015, 26 (39), 395101. </w:t>
      </w:r>
      <w:r>
        <w:rPr>
          <w:i/>
          <w:color w:val="880E4F"/>
          <w:sz w:val="18"/>
        </w:rPr>
        <w:t>doi:10.1088/0957-4484/26/39/395101</w:t>
      </w:r>
    </w:p>
    <w:p>
      <w:pPr>
        <w:spacing w:after="60"/>
        <w:ind w:left="576"/>
      </w:pPr>
      <w:r>
        <w:rPr>
          <w:b/>
        </w:rPr>
        <w:t xml:space="preserve">20. </w:t>
      </w:r>
      <w:r>
        <w:t xml:space="preserve">Singh, B.; Sharma, R.; Kumar, P. Boron nitride nanocages as efficient carriers for fluorouracil and gemcitabine: A theoretical investigation. J. Mol. Liq. 2020, 318, 114032. </w:t>
      </w:r>
      <w:r>
        <w:rPr>
          <w:i/>
          <w:color w:val="880E4F"/>
          <w:sz w:val="18"/>
        </w:rPr>
        <w:t>doi:10.1016/j.molliq.2020.114032</w:t>
      </w:r>
    </w:p>
    <w:p>
      <w:pPr>
        <w:spacing w:after="60"/>
        <w:ind w:left="576"/>
      </w:pPr>
      <w:r>
        <w:rPr>
          <w:b/>
        </w:rPr>
        <w:t xml:space="preserve">21. </w:t>
      </w:r>
      <w:r>
        <w:t xml:space="preserve">Parr, R. G.; Szentpály, L. v.; Liu, S. Electrophilicity index. J. Am. Chem. Soc. 1999, 121 (9), 1922–1924. </w:t>
      </w:r>
      <w:r>
        <w:rPr>
          <w:i/>
          <w:color w:val="880E4F"/>
          <w:sz w:val="18"/>
        </w:rPr>
        <w:t>doi:10.1021/ja983494x</w:t>
      </w:r>
    </w:p>
    <w:p>
      <w:pPr>
        <w:spacing w:after="60"/>
        <w:ind w:left="576"/>
      </w:pPr>
      <w:r>
        <w:rPr>
          <w:b/>
        </w:rPr>
        <w:t xml:space="preserve">22. </w:t>
      </w:r>
      <w:r>
        <w:t xml:space="preserve">Chattaraj, P. K.; Giri, S. Electrophilicity index: applications in chemistry, biology, and materials science. Annu. Rep. Prog. Chem., Sect. C: Phys. Chem. 2009, 105, 13–39. </w:t>
      </w:r>
      <w:r>
        <w:rPr>
          <w:i/>
          <w:color w:val="880E4F"/>
          <w:sz w:val="18"/>
        </w:rPr>
        <w:t>doi:10.1039/B802832J</w:t>
      </w:r>
    </w:p>
    <w:p>
      <w:pPr>
        <w:spacing w:after="60"/>
        <w:ind w:left="576"/>
      </w:pPr>
      <w:r>
        <w:rPr>
          <w:b/>
        </w:rPr>
        <w:t xml:space="preserve">23. </w:t>
      </w:r>
      <w:r>
        <w:t xml:space="preserve">Geerlings, P.; De Proft, F.; Langenaeker, W. Conceptual density functional theory. Chem. Rev. 2003, 103 (5), 1793–1874. </w:t>
      </w:r>
      <w:r>
        <w:rPr>
          <w:i/>
          <w:color w:val="880E4F"/>
          <w:sz w:val="18"/>
        </w:rPr>
        <w:t>doi:10.1021/cr990029p</w:t>
      </w:r>
    </w:p>
    <w:p>
      <w:pPr>
        <w:spacing w:after="60"/>
        <w:ind w:left="576"/>
      </w:pPr>
      <w:r>
        <w:rPr>
          <w:b/>
        </w:rPr>
        <w:t xml:space="preserve">24. </w:t>
      </w:r>
      <w:r>
        <w:t xml:space="preserve">Pearson, R. G. Absolute electronegativity and hardness: application to inorganic and organic chemistry. Inorg. Chem. 1988, 27 (4), 734–740. </w:t>
      </w:r>
      <w:r>
        <w:rPr>
          <w:i/>
          <w:color w:val="880E4F"/>
          <w:sz w:val="18"/>
        </w:rPr>
        <w:t>doi:10.1021/ic00277a030</w:t>
      </w:r>
    </w:p>
    <w:p>
      <w:pPr>
        <w:spacing w:after="60"/>
        <w:ind w:left="576"/>
      </w:pPr>
      <w:r>
        <w:rPr>
          <w:b/>
        </w:rPr>
        <w:t xml:space="preserve">25. </w:t>
      </w:r>
      <w:r>
        <w:t xml:space="preserve">Hourahine, B.; Aradi, B.; Blum, V.; Bonafé, F.; Buccheri, A.; Camacho, C.; Cevallos, C.; Deshaye, M. Y.; Dumitrică, T.; Dominguez, H. et al. DFTB+, a software package for efficient approximate density functional theory based atomistic simulations. J. Chem. Phys. 2020, 152 (12), 124101. </w:t>
      </w:r>
      <w:r>
        <w:rPr>
          <w:i/>
          <w:color w:val="880E4F"/>
          <w:sz w:val="18"/>
        </w:rPr>
        <w:t>doi:10.1063/1.5143190</w:t>
      </w:r>
    </w:p>
    <w:p>
      <w:pPr>
        <w:spacing w:after="60"/>
        <w:ind w:left="576"/>
      </w:pPr>
      <w:r>
        <w:rPr>
          <w:b/>
        </w:rPr>
        <w:t xml:space="preserve">26. </w:t>
      </w:r>
      <w:r>
        <w:t xml:space="preserve">Gaus, M.; Cui, Q.; Elstner, M. DFTB3: Extension of the self-consistent-charge density-functional tight-binding method (SCC-DFTB). J. Chem. Theory Comput. 2011, 7 (4), 931–948. </w:t>
      </w:r>
      <w:r>
        <w:rPr>
          <w:i/>
          <w:color w:val="880E4F"/>
          <w:sz w:val="18"/>
        </w:rPr>
        <w:t>doi:10.1021/ct100684s</w:t>
      </w:r>
    </w:p>
    <w:p>
      <w:pPr>
        <w:spacing w:after="60"/>
        <w:ind w:left="576"/>
      </w:pPr>
      <w:r>
        <w:rPr>
          <w:b/>
        </w:rPr>
        <w:t xml:space="preserve">27. </w:t>
      </w:r>
      <w:r>
        <w:t xml:space="preserve">Grimme, S.; Bannwarth, C.; Shushkov, P. A robust and accurate tight-binding quantum chemical method for structures, vibrational frequencies, and noncovalent interactions of large molecular systems. J. Chem. Theory Comput. 2019, 13 (5), 1989–2009. </w:t>
      </w:r>
      <w:r>
        <w:rPr>
          <w:i/>
          <w:color w:val="880E4F"/>
          <w:sz w:val="18"/>
        </w:rPr>
        <w:t>doi:10.1021/acs.jctc.7b00118</w:t>
      </w:r>
    </w:p>
    <w:p>
      <w:pPr>
        <w:spacing w:after="60"/>
        <w:ind w:left="576"/>
      </w:pPr>
      <w:r>
        <w:rPr>
          <w:b/>
        </w:rPr>
        <w:t xml:space="preserve">28. </w:t>
      </w:r>
      <w:r>
        <w:t xml:space="preserve">Koopmans, T. Über die Zuordnung von Wellenfunktionen und Eigenwerten zu den einzelnen Elektronen eines Atoms. Physica 1934, 1 (1-6), 104–113. </w:t>
      </w:r>
      <w:r>
        <w:rPr>
          <w:i/>
          <w:color w:val="880E4F"/>
          <w:sz w:val="18"/>
        </w:rPr>
        <w:t>doi:10.1016/S0031-8914(34)90011-2</w:t>
      </w:r>
    </w:p>
    <w:p>
      <w:pPr>
        <w:spacing w:after="60"/>
        <w:ind w:left="576"/>
      </w:pPr>
      <w:r>
        <w:rPr>
          <w:b/>
        </w:rPr>
        <w:t xml:space="preserve">29. </w:t>
      </w:r>
      <w:r>
        <w:t xml:space="preserve">Boys, S. F.; Bernardi, F. The calculation of small molecular interactions by the differences of separate total energies. Some procedures with reduced errors. Mol. Phys. 1970, 19 (4), 553–566. </w:t>
      </w:r>
      <w:r>
        <w:rPr>
          <w:i/>
          <w:color w:val="880E4F"/>
          <w:sz w:val="18"/>
        </w:rPr>
        <w:t>doi:10.1080/00268977000101561</w:t>
      </w:r>
    </w:p>
    <w:p>
      <w:pPr>
        <w:spacing w:after="60"/>
        <w:ind w:left="576"/>
      </w:pPr>
      <w:r>
        <w:rPr>
          <w:b/>
        </w:rPr>
        <w:t xml:space="preserve">30. </w:t>
      </w:r>
      <w:r>
        <w:t xml:space="preserve">Miralrio, A.; Medina, D. I. Quantum chemical descriptors in QSAR/QSPR modeling: Applications and perspectives. Molecules 2020, 25 (19), 4474. </w:t>
      </w:r>
      <w:r>
        <w:rPr>
          <w:i/>
          <w:color w:val="880E4F"/>
          <w:sz w:val="18"/>
        </w:rPr>
        <w:t>doi:10.3390/molecules25194474</w:t>
      </w:r>
    </w:p>
    <w:p>
      <w:pPr>
        <w:spacing w:after="60"/>
        <w:ind w:left="576"/>
      </w:pPr>
      <w:r>
        <w:rPr>
          <w:b/>
        </w:rPr>
        <w:t xml:space="preserve">31. </w:t>
      </w:r>
      <w:r>
        <w:t xml:space="preserve">Trott, O.; Olson, A. J. AutoDock Vina: improving the speed and accuracy of docking with a new scoring function, efficient optimization, and multithreading. J. Comput. Chem. 2010, 31 (2), 455–461. </w:t>
      </w:r>
      <w:r>
        <w:rPr>
          <w:i/>
          <w:color w:val="880E4F"/>
          <w:sz w:val="18"/>
        </w:rPr>
        <w:t>doi:10.1002/jcc.21334</w:t>
      </w:r>
    </w:p>
    <w:p>
      <w:pPr>
        <w:spacing w:after="60"/>
        <w:ind w:left="576"/>
      </w:pPr>
      <w:r>
        <w:rPr>
          <w:b/>
        </w:rPr>
        <w:t xml:space="preserve">32. </w:t>
      </w:r>
      <w:r>
        <w:t xml:space="preserve">Eberhardt, J.; Santos-Martins, D.; Tillack, A. F.; Forli, S. AutoDock Vina 1.2.0: New docking methods, expanded force field, and python bindings. J. Chem. Inf. Model. 2021, 61 (8), 3891–3898. </w:t>
      </w:r>
      <w:r>
        <w:rPr>
          <w:i/>
          <w:color w:val="880E4F"/>
          <w:sz w:val="18"/>
        </w:rPr>
        <w:t>doi:10.1021/acs.jcim.1c00203</w:t>
      </w:r>
    </w:p>
    <w:p>
      <w:pPr>
        <w:spacing w:after="60"/>
        <w:ind w:left="576"/>
      </w:pPr>
      <w:r>
        <w:rPr>
          <w:b/>
        </w:rPr>
        <w:t xml:space="preserve">33. </w:t>
      </w:r>
      <w:r>
        <w:t xml:space="preserve">Papeo, G.; Posteri, H.; Borghi, D.; Busel, A. A.; Caprera, F.; Casale, E.; Ciomei, M.; Cirla, A.; Corti, L.; D'Anello, M. et al. Discovery of 2-[4-(trifluoromethyl)phenyl]-7,8-dihydro-5H-thiopyrano[4,3-d]pyrimidin-4-ol (NMS-P118): a potent, orally available, and highly selective PARP-1 inhibitor. J. Med. Chem. 2014, 57 (16), 6993–7005. </w:t>
      </w:r>
      <w:r>
        <w:rPr>
          <w:i/>
          <w:color w:val="880E4F"/>
          <w:sz w:val="18"/>
        </w:rPr>
        <w:t>doi:10.1021/jm5006456</w:t>
      </w:r>
    </w:p>
    <w:p>
      <w:pPr>
        <w:spacing w:after="60"/>
        <w:ind w:left="576"/>
      </w:pPr>
      <w:r>
        <w:rPr>
          <w:b/>
        </w:rPr>
        <w:t xml:space="preserve">34. </w:t>
      </w:r>
      <w:r>
        <w:t xml:space="preserve">Riniker, S.; Landrum, G. A. Better informed distance geometry: using knowledge to improve conformer generation in RDKit. J. Chem. Inf. Model. 2015, 55 (12), 2562–2574. </w:t>
      </w:r>
      <w:r>
        <w:rPr>
          <w:i/>
          <w:color w:val="880E4F"/>
          <w:sz w:val="18"/>
        </w:rPr>
        <w:t>doi:10.1021/acs.jcim.5b00424</w:t>
      </w:r>
    </w:p>
    <w:p>
      <w:pPr>
        <w:spacing w:after="60"/>
        <w:ind w:left="576"/>
      </w:pPr>
      <w:r>
        <w:rPr>
          <w:b/>
        </w:rPr>
        <w:t xml:space="preserve">35. </w:t>
      </w:r>
      <w:r>
        <w:t xml:space="preserve">Landrum, G. et al. RDKit: Open-source cheminformatics toolkit. Version 2023.09.1, http://www.rdkit.org (accessed August 2026). </w:t>
      </w:r>
      <w:r>
        <w:rPr>
          <w:i/>
          <w:color w:val="880E4F"/>
          <w:sz w:val="18"/>
        </w:rPr>
        <w:t>doi:10.5281/zenodo.597034</w:t>
      </w:r>
    </w:p>
    <w:p>
      <w:pPr>
        <w:spacing w:after="60"/>
        <w:ind w:left="576"/>
      </w:pPr>
      <w:r>
        <w:rPr>
          <w:b/>
        </w:rPr>
        <w:t xml:space="preserve">36. </w:t>
      </w:r>
      <w:r>
        <w:t xml:space="preserve">Berman, H. M.; Westbrook, J.; Feng, Z.; Gilliland, G.; Bhat, T. N.; Weissig, H.; Shindyalov, I. N.; Bourne, P. E. The Protein Data Bank. Nucleic Acids Res. 2000, 28 (1), 235–242. </w:t>
      </w:r>
      <w:r>
        <w:rPr>
          <w:i/>
          <w:color w:val="880E4F"/>
          <w:sz w:val="18"/>
        </w:rPr>
        <w:t>doi:10.1093/nar/28.1.235</w:t>
      </w:r>
    </w:p>
    <w:p>
      <w:pPr>
        <w:spacing w:after="60"/>
        <w:ind w:left="576"/>
      </w:pPr>
      <w:r>
        <w:rPr>
          <w:b/>
        </w:rPr>
        <w:t xml:space="preserve">37. </w:t>
      </w:r>
      <w:r>
        <w:t xml:space="preserve">Delaney, J. S. ESOL: Estimating aqueous solubility directly from molecular structure. J. Chem. Inf. Comput. Sci. 2004, 44 (3), 1000–1005. </w:t>
      </w:r>
      <w:r>
        <w:rPr>
          <w:i/>
          <w:color w:val="880E4F"/>
          <w:sz w:val="18"/>
        </w:rPr>
        <w:t>doi:10.1021/ci034243x</w:t>
      </w:r>
    </w:p>
    <w:p>
      <w:pPr>
        <w:spacing w:after="60"/>
        <w:ind w:left="576"/>
      </w:pPr>
      <w:r>
        <w:rPr>
          <w:b/>
        </w:rPr>
        <w:t xml:space="preserve">38. </w:t>
      </w:r>
      <w:r>
        <w:t xml:space="preserve">Wishart, D. S.; Feunang, Y. D.; Guo, A. C.; Lo, E. J.; Marcu, A.; Grant, J. R.; Sajed, T.; Johnson, D.; Li, C.; Sayeeda, Z. et al. DrugBank 5.0: a major update to the DrugBank database for 2018. Nucleic Acids Res. 2018, 46 (D1), D1074–D1082. </w:t>
      </w:r>
      <w:r>
        <w:rPr>
          <w:i/>
          <w:color w:val="880E4F"/>
          <w:sz w:val="18"/>
        </w:rPr>
        <w:t>doi:10.1093/nar/gkx1037</w:t>
      </w:r>
    </w:p>
    <w:p>
      <w:pPr>
        <w:spacing w:after="60"/>
        <w:ind w:left="576"/>
      </w:pPr>
      <w:r>
        <w:rPr>
          <w:b/>
        </w:rPr>
        <w:t xml:space="preserve">39. </w:t>
      </w:r>
      <w:r>
        <w:t xml:space="preserve">Lundberg, S. M.; Lee, S.-I. A unified approach to interpreting model predictions. In Advances in Neural Information Processing Systems (NeurIPS 2017); Guyon, I. et al., Eds.; Curran Associates, Inc.: Red Hook, NY, 2017; Vol. 30, pp 4765–4774. </w:t>
      </w:r>
      <w:r>
        <w:rPr>
          <w:i/>
          <w:color w:val="880E4F"/>
          <w:sz w:val="18"/>
        </w:rPr>
        <w:t>doi:10.48550/arXiv.1705.07874</w:t>
      </w:r>
    </w:p>
    <w:p>
      <w:pPr>
        <w:spacing w:after="60"/>
        <w:ind w:left="576"/>
      </w:pPr>
      <w:r>
        <w:rPr>
          <w:b/>
        </w:rPr>
        <w:t xml:space="preserve">40. </w:t>
      </w:r>
      <w:r>
        <w:t xml:space="preserve">Chen, T.; Guestrin, C. XGBoost: A scalable tree boosting system. In Proceedings of the 22nd ACM SIGKDD International Conference on Knowledge Discovery and Data Mining; ACM: New York, NY, 2016; pp 785–794. </w:t>
      </w:r>
      <w:r>
        <w:rPr>
          <w:i/>
          <w:color w:val="880E4F"/>
          <w:sz w:val="18"/>
        </w:rPr>
        <w:t>doi:10.1145/2939672.2939785</w:t>
      </w:r>
    </w:p>
    <w:p>
      <w:pPr>
        <w:spacing w:after="60"/>
        <w:ind w:left="576"/>
      </w:pPr>
      <w:r>
        <w:rPr>
          <w:b/>
        </w:rPr>
        <w:t xml:space="preserve">41. </w:t>
      </w:r>
      <w:r>
        <w:t xml:space="preserve">Geurts, P.; Ernst, D.; Wehenkel, L. Extremely randomized trees. Mach. Learn. 2006, 63 (1), 3–42. </w:t>
      </w:r>
      <w:r>
        <w:rPr>
          <w:i/>
          <w:color w:val="880E4F"/>
          <w:sz w:val="18"/>
        </w:rPr>
        <w:t>doi:10.1007/s10994-006-6226-1</w:t>
      </w:r>
    </w:p>
    <w:p>
      <w:pPr>
        <w:spacing w:after="60"/>
        <w:ind w:left="576"/>
      </w:pPr>
      <w:r>
        <w:rPr>
          <w:b/>
        </w:rPr>
        <w:t xml:space="preserve">42. </w:t>
      </w:r>
      <w:r>
        <w:t xml:space="preserve">OECD. Guidance Document on the Validation of (Quantitative) Structure-Activity Relationship [(Q)SAR] Models. OECD Series on Testing and Assessment, No. 69; OECD Publishing: Paris, France, 2007. </w:t>
      </w:r>
      <w:r>
        <w:rPr>
          <w:i/>
          <w:color w:val="880E4F"/>
          <w:sz w:val="18"/>
        </w:rPr>
        <w:t>doi:10.1787/9789264085442-en</w:t>
      </w:r>
    </w:p>
    <w:p>
      <w:pPr>
        <w:spacing w:after="60"/>
        <w:ind w:left="576"/>
      </w:pPr>
      <w:r>
        <w:rPr>
          <w:b/>
        </w:rPr>
        <w:t xml:space="preserve">43. </w:t>
      </w:r>
      <w:r>
        <w:t xml:space="preserve">Gramatica, P. Principles of QSAR models validation: internal and external. QSAR Comb. Sci. 2007, 26 (5), 694–701. </w:t>
      </w:r>
      <w:r>
        <w:rPr>
          <w:i/>
          <w:color w:val="880E4F"/>
          <w:sz w:val="18"/>
        </w:rPr>
        <w:t>doi:10.1002/qsar.200610151</w:t>
      </w:r>
    </w:p>
    <w:p>
      <w:pPr>
        <w:spacing w:after="60"/>
        <w:ind w:left="576"/>
      </w:pPr>
      <w:r>
        <w:rPr>
          <w:b/>
        </w:rPr>
        <w:t xml:space="preserve">44. </w:t>
      </w:r>
      <w:r>
        <w:t xml:space="preserve">Rodríguez-Pérez, R.; Bajorath, J. Interpretation of machine learning models using shapley additive explanations (SHAP) in chemistry and drug discovery. J. Med. Chem. 2020, 63 (16), 8677–8688. </w:t>
      </w:r>
      <w:r>
        <w:rPr>
          <w:i/>
          <w:color w:val="880E4F"/>
          <w:sz w:val="18"/>
        </w:rPr>
        <w:t>doi:10.1021/acs.jmedchem.9b01101</w:t>
      </w:r>
    </w:p>
    <w:p>
      <w:pPr>
        <w:spacing w:after="60"/>
        <w:ind w:left="576"/>
      </w:pPr>
      <w:r>
        <w:rPr>
          <w:b/>
        </w:rPr>
        <w:t xml:space="preserve">45. </w:t>
      </w:r>
      <w:r>
        <w:t xml:space="preserve">Tropsha, A. Best practices for QSAR model development, validation, and exploitation. Mol. Inf. 2010, 29 (6-7), 476–488. </w:t>
      </w:r>
      <w:r>
        <w:rPr>
          <w:i/>
          <w:color w:val="880E4F"/>
          <w:sz w:val="18"/>
        </w:rPr>
        <w:t>doi:10.1002/minf.201000061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