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</w:rPr>
        <w:t>Date: August 31, 2026</w:t>
        <w:br/>
        <w:br/>
        <w:t>To:</w:t>
        <w:br/>
        <w:t>Prof. Dr. Salvatore Guccione</w:t>
        <w:br/>
        <w:t>Editor-in-Chief, Molecular Diversity</w:t>
        <w:br/>
        <w:t>Springer Nature</w:t>
      </w:r>
    </w:p>
    <w:p>
      <w:pPr>
        <w:spacing w:after="200"/>
      </w:pPr>
      <w:r>
        <w:rPr>
          <w:b/>
          <w:color w:val="880E4F"/>
        </w:rPr>
        <w:t>Subject: Submission of Original Research Article titled 'Quantum-Chemical Modeling and Explainable Nano-QSAR of Inorganic Boron Nitride Nanocages (B36N36) for Targeted Triple-Negative Breast Cancer Therapeutics Delivery'</w:t>
      </w:r>
    </w:p>
    <w:p>
      <w:pPr>
        <w:spacing w:after="160" w:line="276" w:lineRule="auto"/>
      </w:pPr>
      <w:r>
        <w:t>Dear Prof. Dr. Salvatore Guccione and Editorial Board Members,</w:t>
        <w:br/>
        <w:br/>
        <w:t>We are pleased to submit our original research manuscript entitled 'Quantum-Chemical Modeling and Explainable Nano-QSAR of Inorganic Boron Nitride Nanocages (B36N36) for Targeted Triple-Negative Breast Cancer Therapeutics Delivery' for consideration for publication in Molecular Diversity.</w:t>
        <w:br/>
        <w:br/>
        <w:t>Triple-Negative Breast Cancer (TNBC) represents an aggressive breast cancer subtype lacking ER, PR, and HER2 expression, where synthetic lethality targeting PARP1 (in BRCA1/2-deficient settings) and cytotoxic drug delivery are central therapeutic strategies. In this study, we present an integrated computational chemistry, Explainable AI (XAI), and nano-QSAR framework evaluating the supramolecular loading, quantum-chemical interaction space, and catalytic target engagement of hollow spherical inorganic Boron Nitride Nanocages (B36N36) across N=33 curated clinical-stage TNBC therapeutics. This work directly aligns with the core scope of Molecular Diversity in computational molecular design, structure-property relationships, AI/ML surrogate modeling, and chemical library prioritization.</w:t>
        <w:br/>
        <w:br/>
        <w:t>Key Highlights of our Investigation:</w:t>
        <w:br/>
        <w:t>1. Crystallographic PARP1 Docking: High-resolution docking on the crystal structure of human PARP1 (PDB ID: 4UND, 2.10 Å) reproduced the native Olaparib pose with key catalytic interactions (Gly863, Ser904, Glu988).</w:t>
        <w:br/>
        <w:t>2. Standardized Quantum Interaction Energetics: Evaluated tight-binding GFN2-xTB standardized intermolecular interactions (Delta_E_int,std = -21.5 to -38.2 kcal/mol) across pristine B36N36 nanocages and functionalized B36N36-COOH configurations.</w:t>
        <w:br/>
        <w:t>3. Multilevel DFT Benchmark: Validated GFN2-xTB against higher-level dispersion-corrected DFT single-point reference calculations (ORCA 6.1.1, B3LYP-D3BJ/def2-SVP) across representative TNBC drugs (MAE = 1.74 kcal/mol).</w:t>
        <w:br/>
        <w:t>4. OECD-Aligned Nano-QSAR Surrogate Modeling: Developed a leak-free nested cross-validated surrogate model with prespecified physicochemical &amp; CDFT descriptors (Q²_CV = +0.612, RMSE = 4.78 kcal/mol), verified against chance correlation by 1,000 Y-scrambling permutations (empirical p = 0.001).</w:t>
        <w:br/>
        <w:t>5. Complete Open Science &amp; Reproducibility: All codes, coordinates, and models are publicly accessible on GitHub (https://github.com/sircalch/nano-qsar-ai-therapeutics) and permanently archived under Zenodo DOI 10.5281/zenodo.22187873.</w:t>
        <w:br/>
        <w:br/>
        <w:t>Suggested Independent Reviewers:</w:t>
        <w:br/>
        <w:t>1. Prof. Dr. Stefan Grimme (Universität Bonn, Germany) - Expert in semiempirical tight-binding methods (GFN-xTB) and dispersion corrections. Email: grimme@thch.uni-bonn.de</w:t>
        <w:br/>
        <w:t>2. Prof. Dr. Alexandre Varnek (University of Strasbourg, France) - Expert in chemoinformatics and QSAR/QSPR modeling. Email: varnek@unistra.fr</w:t>
        <w:br/>
        <w:t>3. Prof. Dr. Christopher J. Lord (The Institute of Cancer Research, London, UK) - Expert in PARP inhibitors and synthetic lethality in breast cancer. Email: chris.lord@icr.ac.uk</w:t>
        <w:br/>
        <w:t>4. Prof. Dr. Yoshio Bando (National Institute for Materials Science, Japan / Univ. of Wollongong) - Pioneer in Boron Nitride nanotubes and nanocage materials. Email: bando.yoshio@nims.go.jp</w:t>
        <w:br/>
        <w:br/>
        <w:t>Thank you very much for your time and consideration of our manuscript.</w:t>
        <w:br/>
        <w:br/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