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For 30 anti-TNBC drugs we find that 18 physisorb on a B</w:t>
      </w:r>
      <w:r>
        <w:rPr>
          <w:vertAlign w:val="subscript"/>
        </w:rPr>
        <w:t>36</w:t>
      </w:r>
      <w:r>
        <w:rPr/>
        <w:t>N</w:t>
      </w:r>
      <w:r>
        <w:rPr>
          <w:vertAlign w:val="subscript"/>
        </w:rPr>
        <w:t>36</w:t>
      </w:r>
      <w:r>
        <w:rPr/>
        <w:t xml:space="preserve"> cage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reacts with the cage. A docking protocol that reproduces the crystallographic talazoparib pose in PARP1 (root-mean-square deviation 0.51 and 1.27 Å) ranks olaparib and talazoparib first. Neither the docking score nor the cage interaction energy can be predicted from four pre-selected descriptors (</w:t>
      </w:r>
      <w:r>
        <w:rPr>
          <w:i/>
        </w:rPr>
        <w:t>Q</w:t>
      </w:r>
      <w:r>
        <w:rPr>
          <w:vertAlign w:val="superscript"/>
        </w:rPr>
        <w:t>2</w:t>
      </w:r>
      <w:r>
        <w:rPr>
          <w:vertAlign w:val="subscript"/>
        </w:rPr>
        <w:t>CV</w:t>
      </w:r>
      <w:r>
        <w:rPr/>
        <w:t xml:space="preserve"> = −0.08 and −0.08), and the two endpoints are uncorrelated (Spearman ρ = 0.05).</w:t>
      </w:r>
    </w:p>
    <w:p>
      <w:pPr>
        <w:jc w:val="both"/>
      </w:pPr>
      <w:r>
        <w:rPr>
          <w:b/>
        </w:rPr>
        <w:t>Methods</w:t>
      </w:r>
      <w:r>
        <w:rPr/>
        <w:t xml:space="preserve"> </w:t>
      </w:r>
      <w:r>
        <w:rPr/>
        <w:t>Structures were taken from PubChem. A valid B</w:t>
      </w:r>
      <w:r>
        <w:rPr>
          <w:vertAlign w:val="subscript"/>
        </w:rPr>
        <w:t>36</w:t>
      </w:r>
      <w:r>
        <w:rPr/>
        <w:t>N</w:t>
      </w:r>
      <w:r>
        <w:rPr>
          <w:vertAlign w:val="subscript"/>
        </w:rPr>
        <w:t>36</w:t>
      </w:r>
      <w:r>
        <w:rPr/>
        <w:t xml:space="preserve"> cage (octahedral, 108 B–N bonds) was relaxed with GFN2-xTB and confirmed as a minimum. Each drug was adsorbed from four relaxed orientations with GFN2-xTB (xtb 6.7.1); the regime was assigned from drug–cage bond formation. Drugs were docked into PARP1 (PDB 4UND, chain A) with AutoDock Vina 1.2.7 after PDBFixer/Meeko preparation, validated by two redocking controls. Ridge quantitative structure–property relationship (QSPR) models were assessed by nested 5×5 cross-validation, 1,000-fold Y-scrambling and a leverage applicability domain.</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(Online Resource 1,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are computed; none is fitted to experimental data.</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60732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3607320"/>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both within the usual 2 Å criterion. The ring-conformer ensemble was necessary: a single ETKDG conformer of talazoparib, whose partially saturated ring Vina cannot flex, docked 6.7 Å away from the crystal pose.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72832"/>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872832"/>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keepNext/>
        <w:jc w:val="center"/>
      </w:pPr>
      <w:r>
        <w:drawing>
          <wp:inline xmlns:a="http://schemas.openxmlformats.org/drawingml/2006/main" xmlns:pic="http://schemas.openxmlformats.org/drawingml/2006/picture">
            <wp:extent cx="6264000" cy="336253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3362530"/>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(the shortest, SN-38, lies just above the B–O bonding threshold of 1.73 Å), whereas 12 formed a bond to a cage boron atom: 8 B–O and 5 B–N dative bonds of 1.43–1.74 Å (Fig. 6a, Table 1). Carbonyl or hydroxyl oxygens and nitrogen lone pairs of the drugs act as the Lewis bases, as expected for the electron-deficient boron sites of BN cages. Chemisorption strengthens the interaction by a factor of about 1.8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 The cage stays intact throughout: in every complex it keeps its 108 B–N bonds and forms no B–B or N–N bond, and its energy never falls below that of the isolated cage (from 0.0 to 31.6 kcal mol</w:t>
      </w:r>
      <w:r>
        <w:rPr>
          <w:vertAlign w:val="superscript"/>
        </w:rPr>
        <w:t>−1</w:t>
      </w:r>
      <w:r>
        <w:rPr/>
        <w:t xml:space="preserve"> above it, the cost of its distortion).</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95973"/>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1695973"/>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70849"/>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870849"/>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a drug's affinity for the target says nothing about how strongly the carrier holds it. For delivery this is favourable, because the two properties can be selected independently; for example, olaparib combines the best docking score with weak physisorption, which would favour release.</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In both models all drugs except epirubicin lie inside the applicability domain, so the failure is not an extrapolation effect. These negative results are reported as such; they indicate that screening B</w:t>
      </w:r>
      <w:r>
        <w:rPr>
          <w:vertAlign w:val="subscript"/>
        </w:rPr>
        <w:t>36</w:t>
      </w:r>
      <w:r>
        <w:rPr/>
        <w:t>N</w:t>
      </w:r>
      <w:r>
        <w:rPr>
          <w:vertAlign w:val="subscript"/>
        </w:rPr>
        <w:t>36</w:t>
      </w:r>
      <w:r>
        <w:rPr/>
        <w:t xml:space="preserve"> carriers requires explicit adsorption calculations rather than descriptor surrogates.</w:t>
      </w:r>
    </w:p>
    <w:p>
      <w:pPr>
        <w:keepNext/>
        <w:jc w:val="center"/>
      </w:pPr>
      <w:r>
        <w:drawing>
          <wp:inline xmlns:a="http://schemas.openxmlformats.org/drawingml/2006/main" xmlns:pic="http://schemas.openxmlformats.org/drawingml/2006/picture">
            <wp:extent cx="6264000" cy="430222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4302228"/>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 (1 + number of permutations reaching the model's </w:t>
      </w:r>
      <w:r>
        <w:rPr>
          <w:i/>
          <w:sz w:val="17"/>
        </w:rPr>
        <w:t>Q</w:t>
      </w:r>
      <w:r>
        <w:rPr>
          <w:sz w:val="17"/>
          <w:vertAlign w:val="superscript"/>
        </w:rPr>
        <w:t>2</w:t>
      </w:r>
      <w:r>
        <w:rPr>
          <w:sz w:val="17"/>
          <w:vertAlign w:val="subscript"/>
        </w:rPr>
        <w:t>CV</w:t>
      </w:r>
      <w:r>
        <w:rPr>
          <w:sz w:val="17"/>
        </w:rPr>
        <w:t>)/1,001;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target affinity is independent of carrier binding. Descriptor-based QSPR models fail for both endpoints (</w:t>
      </w:r>
      <w:r>
        <w:rPr>
          <w:i/>
        </w:rPr>
        <w:t>Q</w:t>
      </w:r>
      <w:r>
        <w:rPr>
          <w:vertAlign w:val="superscript"/>
        </w:rPr>
        <w:t>2</w:t>
      </w:r>
      <w:r>
        <w:rPr>
          <w:vertAlign w:val="subscript"/>
        </w:rPr>
        <w:t>CV</w:t>
      </w:r>
      <w:r>
        <w:rPr/>
        <w:t xml:space="preserve"> ≈ −0.08 and −0.08), so B</w:t>
      </w:r>
      <w:r>
        <w:rPr>
          <w:vertAlign w:val="subscript"/>
        </w:rPr>
        <w:t>36</w:t>
      </w:r>
      <w:r>
        <w:rPr/>
        <w:t>N</w:t>
      </w:r>
      <w:r>
        <w:rPr>
          <w:vertAlign w:val="subscript"/>
        </w:rPr>
        <w:t>36</w:t>
      </w:r>
      <w:r>
        <w:rPr/>
        <w:t xml:space="preserve"> loading must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et al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et al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22. Landrum G et al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