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MASTER SERVICE AGREEMENT</w:t>
      </w:r>
    </w:p>
    <w:p>
      <w:pPr>
        <w:jc w:val="center"/>
      </w:pPr>
      <w:r>
        <w:t>Contract Reference: MSA-2025-GLOBEX-007</w:t>
      </w:r>
    </w:p>
    <w:p/>
    <w:p>
      <w:pPr>
        <w:pStyle w:val="Heading1"/>
      </w:pPr>
      <w:r>
        <w:t>PARTIES</w:t>
      </w:r>
    </w:p>
    <w:p>
      <w:r>
        <w:t>This Master Service Agreement (the "Agreement") is entered into as of January 1, 2025 (the "Effective Date") by and between:</w:t>
      </w:r>
    </w:p>
    <w:p/>
    <w:p>
      <w:r>
        <w:rPr>
          <w:b/>
        </w:rPr>
        <w:t>Service Provider:</w:t>
      </w:r>
    </w:p>
    <w:p>
      <w:r>
        <w:t>Globex Corporation, a Delaware corporation with its principal place of business at 100 Industrial Parkway, Springfield, IL 62701 ("Globex" or "Service Provider")</w:t>
      </w:r>
    </w:p>
    <w:p/>
    <w:p>
      <w:r>
        <w:rPr>
          <w:b/>
        </w:rPr>
        <w:t>Client:</w:t>
      </w:r>
    </w:p>
    <w:p>
      <w:r>
        <w:t>Initech Limited, a New York corporation with its principal place of business at 200 Corporate Drive, New York, NY 10001 ("Client")</w:t>
      </w:r>
    </w:p>
    <w:p/>
    <w:p>
      <w:pPr>
        <w:pStyle w:val="Heading1"/>
      </w:pPr>
      <w:r>
        <w:t>SCOPE OF SERVICES</w:t>
      </w:r>
    </w:p>
    <w:p>
      <w:r>
        <w:rPr>
          <w:b/>
        </w:rPr>
        <w:t>2.1. Services</w:t>
      </w:r>
    </w:p>
    <w:p>
      <w:r>
        <w:t>Globex agrees to provide the following professional services to Client: software development, technical consulting, system integration, and ongoing maintenance support as described in detail in Schedule A attached hereto and incorporated by reference.</w:t>
      </w:r>
    </w:p>
    <w:p/>
    <w:p>
      <w:r>
        <w:rPr>
          <w:b/>
        </w:rPr>
        <w:t>2.2. Deliverables</w:t>
      </w:r>
    </w:p>
    <w:p>
      <w:r>
        <w:t>Globex shall deliver all work product, reports, and materials as specified in Schedule A within the timeframes set forth therein. All deliverables remain the property of Globex until full payment has been received.</w:t>
      </w:r>
    </w:p>
    <w:p/>
    <w:p>
      <w:r>
        <w:rPr>
          <w:b/>
        </w:rPr>
        <w:t>2.3. Change Orders</w:t>
      </w:r>
    </w:p>
    <w:p>
      <w:r>
        <w:t>Any modifications to the scope of services must be agreed in writing by both parties prior to commencement of additional work. Verbal agreements to change scope shall not be binding on either party.</w:t>
      </w:r>
    </w:p>
    <w:p/>
    <w:p>
      <w:pPr>
        <w:pStyle w:val="Heading1"/>
      </w:pPr>
      <w:r>
        <w:t>PAYMENT TERMS</w:t>
      </w:r>
    </w:p>
    <w:p>
      <w:r>
        <w:rPr>
          <w:b/>
        </w:rPr>
        <w:t>3.1. Fees</w:t>
      </w:r>
    </w:p>
    <w:p>
      <w:r>
        <w:t>Client agrees to pay Globex the fees set forth in Schedule B. All fees are quoted in US Dollars and are exclusive of applicable taxes.</w:t>
      </w:r>
    </w:p>
    <w:p/>
    <w:p>
      <w:r>
        <w:rPr>
          <w:b/>
        </w:rPr>
        <w:t>3.2. Invoicing</w:t>
      </w:r>
    </w:p>
    <w:p>
      <w:r>
        <w:t>Globex shall issue invoices on the first business day of each month for services rendered in the prior month. Invoices are due and payable within 30 days of issuance.</w:t>
      </w:r>
    </w:p>
    <w:p/>
    <w:p>
      <w:r>
        <w:rPr>
          <w:b/>
        </w:rPr>
        <w:t>3.3. Late Payment Penalty</w:t>
      </w:r>
    </w:p>
    <w:p>
      <w:r>
        <w:t>In the event that Client fails to remit payment by the due date, a late payment penalty of 2% per month shall be applied to the outstanding balance. Accounts overdue by more than 90 days will incur an additional administrative fee of $150.00 and may be referred to external collections. Globex reserves the right to suspend all services until all overdue amounts are settled in full.</w:t>
      </w:r>
    </w:p>
    <w:p/>
    <w:p>
      <w:r>
        <w:rPr>
          <w:b/>
        </w:rPr>
        <w:t>3.4. Disputed Invoices</w:t>
      </w:r>
    </w:p>
    <w:p>
      <w:r>
        <w:t>Client must notify Globex of any invoice dispute within 10 business days of receipt. Failure to dispute within this period constitutes acceptance. Disputes do not suspend Client's obligation to pay undisputed amounts.</w:t>
      </w:r>
    </w:p>
    <w:p/>
    <w:p>
      <w:pPr>
        <w:pStyle w:val="Heading1"/>
      </w:pPr>
      <w:r>
        <w:t>CONTRACT TERM AND RENEWAL</w:t>
      </w:r>
    </w:p>
    <w:p>
      <w:r>
        <w:rPr>
          <w:b/>
        </w:rPr>
        <w:t>4.1. Initial Term</w:t>
      </w:r>
    </w:p>
    <w:p>
      <w:r>
        <w:t>This Agreement shall commence on January 1, 2025 and continue for a period of twelve (12) months, expiring on December 31, 2025 (the "Initial Term").</w:t>
      </w:r>
    </w:p>
    <w:p/>
    <w:p>
      <w:r>
        <w:rPr>
          <w:b/>
        </w:rPr>
        <w:t>4.2. Automatic Renewal</w:t>
      </w:r>
    </w:p>
    <w:p>
      <w:r>
        <w:t>Unless either party provides written notice of non-renewal at least 60 days prior to the end of the Initial Term or any Renewal Term, this Agreement shall automatically renew for successive one-year periods on the same terms and conditions.</w:t>
      </w:r>
    </w:p>
    <w:p/>
    <w:p>
      <w:r>
        <w:rPr>
          <w:b/>
        </w:rPr>
        <w:t>4.3. Early Termination</w:t>
      </w:r>
    </w:p>
    <w:p>
      <w:r>
        <w:t>Either party may terminate this Agreement with 90 days written notice. Client shall remain liable for all fees incurred up to the effective termination date. Early termination by Client shall result in an early termination fee equal to 25% of the remaining contract value.</w:t>
      </w:r>
    </w:p>
    <w:p/>
    <w:p>
      <w:pPr>
        <w:pStyle w:val="Heading1"/>
      </w:pPr>
      <w:r>
        <w:t>CONFIDENTIALITY</w:t>
      </w:r>
    </w:p>
    <w:p>
      <w:r>
        <w:rPr>
          <w:b/>
        </w:rPr>
        <w:t>5.1. Mutual Confidentiality</w:t>
      </w:r>
    </w:p>
    <w:p>
      <w:r>
        <w:t>Each party agrees to hold the other party's Confidential Information in strict confidence and not to disclose it to any third party without prior written consent. Confidential Information includes all technical, financial, and business information disclosed in connection with this Agreement.</w:t>
      </w:r>
    </w:p>
    <w:p/>
    <w:p>
      <w:r>
        <w:rPr>
          <w:b/>
        </w:rPr>
        <w:t>5.2. Duration</w:t>
      </w:r>
    </w:p>
    <w:p>
      <w:r>
        <w:t>Confidentiality obligations survive the termination of this Agreement for a period of five (5) years.</w:t>
      </w:r>
    </w:p>
    <w:p/>
    <w:p>
      <w:pPr>
        <w:pStyle w:val="Heading1"/>
      </w:pPr>
      <w:r>
        <w:t>SCHEDULE B — FEE SCHEDULE</w:t>
      </w:r>
    </w:p>
    <w:p>
      <w:r>
        <w:t>The following fees apply for the contract period January 1, 2025 — December 31, 2025:</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Service</w:t>
            </w:r>
          </w:p>
        </w:tc>
        <w:tc>
          <w:tcPr>
            <w:tcW w:type="dxa" w:w="2160"/>
          </w:tcPr>
          <w:p>
            <w:r>
              <w:rPr>
                <w:b/>
              </w:rPr>
              <w:t>Unit</w:t>
            </w:r>
          </w:p>
        </w:tc>
        <w:tc>
          <w:tcPr>
            <w:tcW w:type="dxa" w:w="2160"/>
          </w:tcPr>
          <w:p>
            <w:r>
              <w:rPr>
                <w:b/>
              </w:rPr>
              <w:t>Rate (USD)</w:t>
            </w:r>
          </w:p>
        </w:tc>
        <w:tc>
          <w:tcPr>
            <w:tcW w:type="dxa" w:w="2160"/>
          </w:tcPr>
          <w:p>
            <w:r>
              <w:rPr>
                <w:b/>
              </w:rPr>
              <w:t>Estimated Annual Cost</w:t>
            </w:r>
          </w:p>
        </w:tc>
      </w:tr>
      <w:tr>
        <w:tc>
          <w:tcPr>
            <w:tcW w:type="dxa" w:w="2160"/>
          </w:tcPr>
          <w:p>
            <w:r>
              <w:t>Software Development</w:t>
            </w:r>
          </w:p>
        </w:tc>
        <w:tc>
          <w:tcPr>
            <w:tcW w:type="dxa" w:w="2160"/>
          </w:tcPr>
          <w:p>
            <w:r>
              <w:t>Per hour</w:t>
            </w:r>
          </w:p>
        </w:tc>
        <w:tc>
          <w:tcPr>
            <w:tcW w:type="dxa" w:w="2160"/>
          </w:tcPr>
          <w:p>
            <w:r>
              <w:t>$275.00</w:t>
            </w:r>
          </w:p>
        </w:tc>
        <w:tc>
          <w:tcPr>
            <w:tcW w:type="dxa" w:w="2160"/>
          </w:tcPr>
          <w:p>
            <w:r>
              <w:t>$110,000.00</w:t>
            </w:r>
          </w:p>
        </w:tc>
      </w:tr>
      <w:tr>
        <w:tc>
          <w:tcPr>
            <w:tcW w:type="dxa" w:w="2160"/>
          </w:tcPr>
          <w:p>
            <w:r>
              <w:t>Technical Consulting</w:t>
            </w:r>
          </w:p>
        </w:tc>
        <w:tc>
          <w:tcPr>
            <w:tcW w:type="dxa" w:w="2160"/>
          </w:tcPr>
          <w:p>
            <w:r>
              <w:t>Per hour</w:t>
            </w:r>
          </w:p>
        </w:tc>
        <w:tc>
          <w:tcPr>
            <w:tcW w:type="dxa" w:w="2160"/>
          </w:tcPr>
          <w:p>
            <w:r>
              <w:t>$300.00</w:t>
            </w:r>
          </w:p>
        </w:tc>
        <w:tc>
          <w:tcPr>
            <w:tcW w:type="dxa" w:w="2160"/>
          </w:tcPr>
          <w:p>
            <w:r>
              <w:t>$60,000.00</w:t>
            </w:r>
          </w:p>
        </w:tc>
      </w:tr>
      <w:tr>
        <w:tc>
          <w:tcPr>
            <w:tcW w:type="dxa" w:w="2160"/>
          </w:tcPr>
          <w:p>
            <w:r>
              <w:t>System Integration</w:t>
            </w:r>
          </w:p>
        </w:tc>
        <w:tc>
          <w:tcPr>
            <w:tcW w:type="dxa" w:w="2160"/>
          </w:tcPr>
          <w:p>
            <w:r>
              <w:t>Per project</w:t>
            </w:r>
          </w:p>
        </w:tc>
        <w:tc>
          <w:tcPr>
            <w:tcW w:type="dxa" w:w="2160"/>
          </w:tcPr>
          <w:p>
            <w:r>
              <w:t>$15,000.00</w:t>
            </w:r>
          </w:p>
        </w:tc>
        <w:tc>
          <w:tcPr>
            <w:tcW w:type="dxa" w:w="2160"/>
          </w:tcPr>
          <w:p>
            <w:r>
              <w:t>$30,000.00</w:t>
            </w:r>
          </w:p>
        </w:tc>
      </w:tr>
      <w:tr>
        <w:tc>
          <w:tcPr>
            <w:tcW w:type="dxa" w:w="2160"/>
          </w:tcPr>
          <w:p>
            <w:r>
              <w:t>Maintenance &amp; Support</w:t>
            </w:r>
          </w:p>
        </w:tc>
        <w:tc>
          <w:tcPr>
            <w:tcW w:type="dxa" w:w="2160"/>
          </w:tcPr>
          <w:p>
            <w:r>
              <w:t>Per month</w:t>
            </w:r>
          </w:p>
        </w:tc>
        <w:tc>
          <w:tcPr>
            <w:tcW w:type="dxa" w:w="2160"/>
          </w:tcPr>
          <w:p>
            <w:r>
              <w:t>$3,500.00</w:t>
            </w:r>
          </w:p>
        </w:tc>
        <w:tc>
          <w:tcPr>
            <w:tcW w:type="dxa" w:w="2160"/>
          </w:tcPr>
          <w:p>
            <w:r>
              <w:t>$42,000.00</w:t>
            </w:r>
          </w:p>
        </w:tc>
      </w:tr>
      <w:tr>
        <w:tc>
          <w:tcPr>
            <w:tcW w:type="dxa" w:w="2160"/>
          </w:tcPr>
          <w:p>
            <w:r>
              <w:t>Emergency On-call Support</w:t>
            </w:r>
          </w:p>
        </w:tc>
        <w:tc>
          <w:tcPr>
            <w:tcW w:type="dxa" w:w="2160"/>
          </w:tcPr>
          <w:p>
            <w:r>
              <w:t>Per incident</w:t>
            </w:r>
          </w:p>
        </w:tc>
        <w:tc>
          <w:tcPr>
            <w:tcW w:type="dxa" w:w="2160"/>
          </w:tcPr>
          <w:p>
            <w:r>
              <w:t>$500.00</w:t>
            </w:r>
          </w:p>
        </w:tc>
        <w:tc>
          <w:tcPr>
            <w:tcW w:type="dxa" w:w="2160"/>
          </w:tcPr>
          <w:p>
            <w:r>
              <w:t>$10,000.00</w:t>
            </w:r>
          </w:p>
        </w:tc>
      </w:tr>
    </w:tbl>
    <w:p/>
    <w:p>
      <w:r>
        <w:rPr>
          <w:b/>
        </w:rPr>
        <w:t>Total Estimated Annual Value: $252,000.00</w:t>
      </w:r>
    </w:p>
    <w:p/>
    <w:p>
      <w:pPr>
        <w:pStyle w:val="Heading1"/>
      </w:pPr>
      <w:r>
        <w:t>SIGNATURES</w:t>
      </w:r>
    </w:p>
    <w:p>
      <w:r>
        <w:t>IN WITNESS WHEREOF, the parties have executed this Agreement as of the Effective Date.</w:t>
      </w:r>
    </w:p>
    <w:p/>
    <w:tbl>
      <w:tblPr>
        <w:tblW w:type="auto" w:w="0"/>
        <w:tblLook w:firstColumn="1" w:firstRow="1" w:lastColumn="0" w:lastRow="0" w:noHBand="0" w:noVBand="1" w:val="04A0"/>
      </w:tblPr>
      <w:tblGrid>
        <w:gridCol w:w="4320"/>
        <w:gridCol w:w="4320"/>
      </w:tblGrid>
      <w:tr>
        <w:tc>
          <w:tcPr>
            <w:tcW w:type="dxa" w:w="4320"/>
          </w:tcPr>
          <w:p>
            <w:r>
              <w:t>GLOBEX CORPORATION</w:t>
            </w:r>
          </w:p>
        </w:tc>
        <w:tc>
          <w:tcPr>
            <w:tcW w:type="dxa" w:w="4320"/>
          </w:tcPr>
          <w:p>
            <w:r>
              <w:t>INITECH LIMITED</w:t>
            </w:r>
          </w:p>
        </w:tc>
      </w:tr>
      <w:tr>
        <w:tc>
          <w:tcPr>
            <w:tcW w:type="dxa" w:w="4320"/>
          </w:tcPr>
          <w:p>
            <w:r>
              <w:t>Signature: _______________________</w:t>
            </w:r>
          </w:p>
        </w:tc>
        <w:tc>
          <w:tcPr>
            <w:tcW w:type="dxa" w:w="4320"/>
          </w:tcPr>
          <w:p>
            <w:r>
              <w:t>Signature: _______________________</w:t>
            </w:r>
          </w:p>
        </w:tc>
      </w:tr>
      <w:tr>
        <w:tc>
          <w:tcPr>
            <w:tcW w:type="dxa" w:w="4320"/>
          </w:tcPr>
          <w:p>
            <w:r>
              <w:t>Name: Michael Holt, CEO</w:t>
            </w:r>
          </w:p>
        </w:tc>
        <w:tc>
          <w:tcPr>
            <w:tcW w:type="dxa" w:w="4320"/>
          </w:tcPr>
          <w:p>
            <w:r>
              <w:t>Name: Bill Lumbergh, COO</w:t>
            </w:r>
          </w:p>
        </w:tc>
      </w:tr>
      <w:tr>
        <w:tc>
          <w:tcPr>
            <w:tcW w:type="dxa" w:w="4320"/>
          </w:tcPr>
          <w:p>
            <w:r>
              <w:t>Date: ___________________________</w:t>
            </w:r>
          </w:p>
        </w:tc>
        <w:tc>
          <w:tcPr>
            <w:tcW w:type="dxa" w:w="4320"/>
          </w:tcPr>
          <w:p>
            <w:r>
              <w:t>Date: ___________________________</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Service Agreement 2025</dc:title>
  <dc:subject>Professional Services Contract</dc:subject>
  <dc:creator>Legal Department — Globex Corp</dc:creator>
  <cp:keywords>contract, services, penalty, renewal, 2025</cp:keywords>
  <dc:description>generated by python-docx</dc:description>
  <cp:lastModifiedBy/>
  <cp:revision>1</cp:revision>
  <dcterms:created xsi:type="dcterms:W3CDTF">2013-12-23T23:15:00Z</dcterms:created>
  <dcterms:modified xsi:type="dcterms:W3CDTF">2013-12-23T23:15:00Z</dcterms:modified>
  <cp:category/>
</cp:coreProperties>
</file>