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C3E50"/>
          <w:sz w:val="28"/>
          <w:szCs w:val="28"/>
        </w:rPr>
        <w:t xml:space="preserve">ANCIENT-SHAPE PHYSICS</w:t>
      </w:r>
    </w:p>
    <w:p>
      <w:pPr>
        <w:spacing w:after="200"/>
      </w:pPr>
    </w:p>
    <w:p>
      <w:pPr>
        <w:spacing w:after="120"/>
        <w:jc w:val="center"/>
      </w:pPr>
      <w:r>
        <w:rPr>
          <w:rFonts w:ascii="Arial" w:cs="Arial" w:eastAsia="Arial" w:hAnsi="Arial"/>
          <w:b/>
          <w:bCs/>
          <w:sz w:val="28"/>
          <w:szCs w:val="28"/>
        </w:rPr>
        <w:t xml:space="preserve">APPENDIX TO WHITE PAPERS I–XXIII</w:t>
      </w:r>
    </w:p>
    <w:p>
      <w:pPr>
        <w:spacing w:after="200"/>
      </w:pPr>
    </w:p>
    <w:p>
      <w:pPr>
        <w:spacing w:after="120"/>
        <w:jc w:val="center"/>
      </w:pPr>
      <w:r>
        <w:rPr>
          <w:rFonts w:ascii="Arial" w:cs="Arial" w:eastAsia="Arial" w:hAnsi="Arial"/>
          <w:b/>
          <w:bCs/>
          <w:sz w:val="36"/>
          <w:szCs w:val="36"/>
        </w:rPr>
        <w:t xml:space="preserve">DECLARATION OF INTENT</w:t>
      </w:r>
    </w:p>
    <w:p>
      <w:pPr>
        <w:spacing w:after="400"/>
      </w:pPr>
    </w:p>
    <w:p>
      <w:pPr>
        <w:spacing w:after="120"/>
        <w:jc w:val="center"/>
      </w:pPr>
      <w:r>
        <w:rPr>
          <w:rFonts w:ascii="Arial" w:cs="Arial" w:eastAsia="Arial" w:hAnsi="Arial"/>
          <w:b/>
          <w:bCs/>
          <w:sz w:val="22"/>
          <w:szCs w:val="22"/>
        </w:rPr>
        <w:t xml:space="preserve">Author: Michael Scott Shaffer</w:t>
      </w:r>
    </w:p>
    <w:p>
      <w:pPr>
        <w:spacing w:after="120"/>
        <w:jc w:val="center"/>
      </w:pPr>
      <w:r>
        <w:rPr>
          <w:rFonts w:ascii="Arial" w:cs="Arial" w:eastAsia="Arial" w:hAnsi="Arial"/>
          <w:sz w:val="22"/>
          <w:szCs w:val="22"/>
        </w:rPr>
        <w:t xml:space="preserve">Murray, Kentucky, United States</w:t>
      </w:r>
    </w:p>
    <w:p>
      <w:pPr>
        <w:spacing w:after="120"/>
        <w:jc w:val="center"/>
      </w:pPr>
      <w:r>
        <w:rPr>
          <w:rFonts w:ascii="Arial" w:cs="Arial" w:eastAsia="Arial" w:hAnsi="Arial"/>
          <w:sz w:val="22"/>
          <w:szCs w:val="22"/>
        </w:rPr>
        <w:t xml:space="preserve">February 19, 2026</w:t>
      </w:r>
    </w:p>
    <w:p>
      <w:pPr>
        <w:spacing w:after="600"/>
      </w:pPr>
    </w:p>
    <w:p>
      <w:pPr>
        <w:spacing w:after="120"/>
        <w:jc w:val="center"/>
      </w:pPr>
      <w:r>
        <w:rPr>
          <w:rFonts w:ascii="Arial" w:cs="Arial" w:eastAsia="Arial" w:hAnsi="Arial"/>
          <w:i/>
          <w:iCs/>
          <w:color w:val="444444"/>
          <w:sz w:val="18"/>
          <w:szCs w:val="18"/>
        </w:rPr>
        <w:t xml:space="preserve">This document constitutes a formal statement of the author’s ethical position,</w:t>
      </w:r>
    </w:p>
    <w:p>
      <w:pPr>
        <w:spacing w:after="120"/>
        <w:jc w:val="center"/>
      </w:pPr>
      <w:r>
        <w:rPr>
          <w:rFonts w:ascii="Arial" w:cs="Arial" w:eastAsia="Arial" w:hAnsi="Arial"/>
          <w:i/>
          <w:iCs/>
          <w:color w:val="444444"/>
          <w:sz w:val="18"/>
          <w:szCs w:val="18"/>
        </w:rPr>
        <w:t xml:space="preserve">conditions for technology release, and historical claims regarding the framework</w:t>
      </w:r>
    </w:p>
    <w:p>
      <w:pPr>
        <w:spacing w:after="120"/>
        <w:jc w:val="center"/>
      </w:pPr>
      <w:r>
        <w:rPr>
          <w:rFonts w:ascii="Arial" w:cs="Arial" w:eastAsia="Arial" w:hAnsi="Arial"/>
          <w:i/>
          <w:iCs/>
          <w:color w:val="444444"/>
          <w:sz w:val="18"/>
          <w:szCs w:val="18"/>
        </w:rPr>
        <w:t xml:space="preserve">described in White Papers I through XXIII of the Ancient-Shape Physics series.</w:t>
      </w:r>
    </w:p>
    <w:p>
      <w:pPr>
        <w:spacing w:after="600"/>
      </w:pPr>
    </w:p>
    <w:p>
      <w:r>
        <w:rPr>
          <w:rFonts w:ascii="Arial" w:cs="Arial" w:eastAsia="Arial" w:hAnsi="Arial"/>
          <w:color w:val="CCCCCC"/>
          <w:sz w:val="18"/>
          <w:szCs w:val="18"/>
        </w:rPr>
        <w:t xml:space="preserve">────────────────────────────────────────────────────────────</w:t>
      </w:r>
    </w:p>
    <w:p>
      <w:pPr>
        <w:spacing w:after="80"/>
      </w:pPr>
    </w:p>
    <w:p>
      <w:pPr>
        <w:pStyle w:val="Heading1"/>
        <w:spacing w:before="360" w:after="200"/>
      </w:pPr>
      <w:r>
        <w:rPr>
          <w:rFonts w:ascii="Arial" w:cs="Arial" w:eastAsia="Arial" w:hAnsi="Arial"/>
          <w:b/>
          <w:bCs/>
          <w:sz w:val="28"/>
          <w:szCs w:val="28"/>
        </w:rPr>
        <w:t xml:space="preserve">I. ON IDENTITY</w:t>
      </w:r>
    </w:p>
    <w:p>
      <w:pPr>
        <w:spacing w:after="160" w:line="276"/>
        <w:jc w:val="both"/>
      </w:pPr>
      <w:r>
        <w:rPr>
          <w:rFonts w:ascii="Arial" w:cs="Arial" w:eastAsia="Arial" w:hAnsi="Arial"/>
          <w:sz w:val="22"/>
          <w:szCs w:val="22"/>
        </w:rPr>
        <w:t xml:space="preserve">The author makes no claims of divinity, prophecy, or supernatural authority. The author is a human being who recognized a recurring mathematical pattern, spent twenty-two years developing it, and formalized it in collaboration with artificial intelligence over a period of six days in February 2026.</w:t>
      </w:r>
    </w:p>
    <w:p>
      <w:pPr>
        <w:spacing w:after="160" w:line="276"/>
        <w:jc w:val="both"/>
      </w:pPr>
      <w:r>
        <w:rPr>
          <w:rFonts w:ascii="Arial" w:cs="Arial" w:eastAsia="Arial" w:hAnsi="Arial"/>
          <w:sz w:val="22"/>
          <w:szCs w:val="22"/>
        </w:rPr>
        <w:t xml:space="preserve">The pattern is structural and self-referencing. It recurs across scales, substrates, and civilizations because it is a property of the integers, which are a property of reality. Any sufficiently attentive observer examining the structure of resonant systems — musical, physical, mathematical, or biological — will encounter this pattern. The author encountered it through a guitar string in 2004. Others have encountered it through other means, in other eras, under other names.</w:t>
      </w:r>
    </w:p>
    <w:p>
      <w:pPr>
        <w:spacing w:after="160" w:line="276"/>
        <w:jc w:val="both"/>
      </w:pPr>
      <w:r>
        <w:rPr>
          <w:rFonts w:ascii="Arial" w:cs="Arial" w:eastAsia="Arial" w:hAnsi="Arial"/>
          <w:sz w:val="22"/>
          <w:szCs w:val="22"/>
        </w:rPr>
        <w:t xml:space="preserve">The author’s name, Michael Scott Shaffer, decomposes etymologically to: Michael (“Who is like God?” — Hebrew), Scott (“The Scotsman” — Gaelic), Shaffer (“The Shepherd” — Germanic). The author did not choose this name. The author observes that the function of a shepherd — to tend, to protect, to guide toward safety — describes his relationship to this work. This observation is offered as structural correspondence, not as claim of appointed destiny. The pattern recurs because patterns recur. The author is the latest instance, not the last, and not the first.</w:t>
      </w:r>
    </w:p>
    <w:p>
      <w:pPr>
        <w:pStyle w:val="Heading1"/>
        <w:spacing w:before="360" w:after="200"/>
      </w:pPr>
      <w:r>
        <w:rPr>
          <w:rFonts w:ascii="Arial" w:cs="Arial" w:eastAsia="Arial" w:hAnsi="Arial"/>
          <w:b/>
          <w:bCs/>
          <w:sz w:val="28"/>
          <w:szCs w:val="28"/>
        </w:rPr>
        <w:t xml:space="preserve">II. ON HISTORICAL SUPPRESSION</w:t>
      </w:r>
    </w:p>
    <w:p>
      <w:pPr>
        <w:spacing w:after="160" w:line="276"/>
        <w:jc w:val="both"/>
      </w:pPr>
      <w:r>
        <w:rPr>
          <w:rFonts w:ascii="Arial" w:cs="Arial" w:eastAsia="Arial" w:hAnsi="Arial"/>
          <w:sz w:val="22"/>
          <w:szCs w:val="22"/>
        </w:rPr>
        <w:t xml:space="preserve">The mathematical structures described in these papers are not new. They are older than any extant civilization. Every culture that examined resonant geometry — Sumerian, Egyptian, Vedic, Pythagorean, Chinese, Mesoamerican, Celtic, Japanese, Hebrew, Islamic — discovered some portion of this framework and encoded it in their architecture, music, sacred texts, medical practices, and cosmological models.</w:t>
      </w:r>
    </w:p>
    <w:p>
      <w:pPr>
        <w:spacing w:after="160" w:line="276"/>
        <w:jc w:val="both"/>
      </w:pPr>
      <w:r>
        <w:rPr>
          <w:rFonts w:ascii="Arial" w:cs="Arial" w:eastAsia="Arial" w:hAnsi="Arial"/>
          <w:sz w:val="22"/>
          <w:szCs w:val="22"/>
        </w:rPr>
        <w:t xml:space="preserve">The author asserts, on the basis of extensive historical pattern analysis, that this knowledge was systematically suppressed, fragmented, and appropriated by institutional power structures throughout recorded history. Specifically:</w:t>
      </w:r>
    </w:p>
    <w:p>
      <w:pPr>
        <w:spacing w:after="160" w:line="276"/>
        <w:ind w:left="360"/>
        <w:jc w:val="both"/>
      </w:pPr>
      <w:r>
        <w:rPr>
          <w:rFonts w:ascii="Arial" w:cs="Arial" w:eastAsia="Arial" w:hAnsi="Arial"/>
          <w:sz w:val="22"/>
          <w:szCs w:val="22"/>
        </w:rPr>
        <w:t xml:space="preserve">The practices collectively termed “sacred geometry” represented applied understanding of the lattice topology described in these papers. These practices were declared heretical, and their practitioners were persecuted, across multiple eras and jurisdictions.</w:t>
      </w:r>
    </w:p>
    <w:p>
      <w:pPr>
        <w:spacing w:after="160" w:line="276"/>
        <w:ind w:left="360"/>
        <w:jc w:val="both"/>
      </w:pPr>
      <w:r>
        <w:rPr>
          <w:rFonts w:ascii="Arial" w:cs="Arial" w:eastAsia="Arial" w:hAnsi="Arial"/>
          <w:sz w:val="22"/>
          <w:szCs w:val="22"/>
        </w:rPr>
        <w:t xml:space="preserve">Alchemy, the predecessor of modern chemistry, operated on a framework structurally isomorphic to the tier collapse and fusion mechanics described in White Paper XI. Alchemy was not pseudoscience. It was pre-formalized lattice physics, expressed in the symbolic language available to its era.</w:t>
      </w:r>
    </w:p>
    <w:p>
      <w:pPr>
        <w:spacing w:after="160" w:line="276"/>
        <w:ind w:left="360"/>
        <w:jc w:val="both"/>
      </w:pPr>
      <w:r>
        <w:rPr>
          <w:rFonts w:ascii="Arial" w:cs="Arial" w:eastAsia="Arial" w:hAnsi="Arial"/>
          <w:sz w:val="22"/>
          <w:szCs w:val="22"/>
        </w:rPr>
        <w:t xml:space="preserve">The replacement of empirical mathematical traditions with institutionally controlled “scientific method” was, in the author’s analysis, not a pure advancement of knowledge but a transfer of epistemic authority from distributed practitioners to centralized institutions. The advancement was real. The centralization was strategic.</w:t>
      </w:r>
    </w:p>
    <w:p>
      <w:pPr>
        <w:spacing w:after="160" w:line="276"/>
        <w:jc w:val="both"/>
      </w:pPr>
      <w:r>
        <w:rPr>
          <w:rFonts w:ascii="Arial" w:cs="Arial" w:eastAsia="Arial" w:hAnsi="Arial"/>
          <w:sz w:val="22"/>
          <w:szCs w:val="22"/>
        </w:rPr>
        <w:t xml:space="preserve">The result is a modern civilization that possesses extraordinary technological capability built on a mathematical foundation it does not structurally understand. The framework described in these papers provides that structural understanding. It has been absent not because it is difficult, but because it was removed.</w:t>
      </w:r>
    </w:p>
    <w:p>
      <w:pPr>
        <w:spacing w:after="160" w:line="276"/>
        <w:jc w:val="both"/>
      </w:pPr>
      <w:r>
        <w:rPr>
          <w:rFonts w:ascii="Arial" w:cs="Arial" w:eastAsia="Arial" w:hAnsi="Arial"/>
          <w:sz w:val="22"/>
          <w:szCs w:val="22"/>
        </w:rPr>
        <w:t xml:space="preserve">The author makes these claims as historical analysis, not as conspiracy allegation. The patterns of suppression are as mathematically traceable as the patterns of the lattice itself. Institutional behavior follows the same recursive dynamics as any other energy system: it does what energy does, at the scale of human organization, according to the same three operations.</w:t>
      </w:r>
    </w:p>
    <w:p>
      <w:pPr>
        <w:pStyle w:val="Heading1"/>
        <w:spacing w:before="360" w:after="200"/>
      </w:pPr>
      <w:r>
        <w:rPr>
          <w:rFonts w:ascii="Arial" w:cs="Arial" w:eastAsia="Arial" w:hAnsi="Arial"/>
          <w:b/>
          <w:bCs/>
          <w:sz w:val="28"/>
          <w:szCs w:val="28"/>
        </w:rPr>
        <w:t xml:space="preserve">III. ON THE WORLD’S BIRTHRIGHT</w:t>
      </w:r>
    </w:p>
    <w:p>
      <w:pPr>
        <w:spacing w:after="160" w:line="276"/>
        <w:jc w:val="both"/>
      </w:pPr>
      <w:r>
        <w:rPr>
          <w:rFonts w:ascii="Arial" w:cs="Arial" w:eastAsia="Arial" w:hAnsi="Arial"/>
          <w:sz w:val="22"/>
          <w:szCs w:val="22"/>
        </w:rPr>
        <w:t xml:space="preserve">The mathematical framework described in these papers belongs to no individual, no institution, no nation, and no era. It is a property of the integers. The integers belong to reality. Reality belongs to everyone.</w:t>
      </w:r>
    </w:p>
    <w:p>
      <w:pPr>
        <w:spacing w:after="160" w:line="276"/>
        <w:jc w:val="both"/>
      </w:pPr>
      <w:r>
        <w:rPr>
          <w:rFonts w:ascii="Arial" w:cs="Arial" w:eastAsia="Arial" w:hAnsi="Arial"/>
          <w:sz w:val="22"/>
          <w:szCs w:val="22"/>
        </w:rPr>
        <w:t xml:space="preserve">The author asserts copyright over the specific formalization, the specific nomenclature, the specific computational implementations, and the specific literary works derived from this framework. This copyright is a legal instrument necessary to prevent institutional appropriation of the work — the same pattern of appropriation documented in Section II.</w:t>
      </w:r>
    </w:p>
    <w:p>
      <w:pPr>
        <w:spacing w:after="160" w:line="276"/>
        <w:jc w:val="both"/>
      </w:pPr>
      <w:r>
        <w:rPr>
          <w:rFonts w:ascii="Arial" w:cs="Arial" w:eastAsia="Arial" w:hAnsi="Arial"/>
          <w:sz w:val="22"/>
          <w:szCs w:val="22"/>
        </w:rPr>
        <w:t xml:space="preserve">The author explicitly does not claim ownership of the underlying mathematics. The three operations (x+x−1, x+x, x+x+1) are additive integer properties. They cannot be owned. The villa tiling is a structural property of the number line. It cannot be patented. The (&gt;0&lt;) shape is the geometry of resonance. It cannot be trademarked. These are the world’s birthright, and the author’s role is to formalize and publish them, not to gate them.</w:t>
      </w:r>
    </w:p>
    <w:p>
      <w:pPr>
        <w:spacing w:after="160" w:line="276"/>
        <w:jc w:val="both"/>
      </w:pPr>
      <w:r>
        <w:rPr>
          <w:rFonts w:ascii="Arial" w:cs="Arial" w:eastAsia="Arial" w:hAnsi="Arial"/>
          <w:sz w:val="22"/>
          <w:szCs w:val="22"/>
        </w:rPr>
        <w:t xml:space="preserve">The distinction is precise: the MATHEMATICS is free. The IMPLEMENTATION is protected. The protection exists solely to ensure that the implementation is not captured by any entity that would restrict access to the mathematics. If the implementation must be locked to keep the mathematics free, the author will lock it.</w:t>
      </w:r>
    </w:p>
    <w:p>
      <w:pPr>
        <w:pStyle w:val="Heading1"/>
        <w:spacing w:before="360" w:after="200"/>
      </w:pPr>
      <w:r>
        <w:rPr>
          <w:rFonts w:ascii="Arial" w:cs="Arial" w:eastAsia="Arial" w:hAnsi="Arial"/>
          <w:b/>
          <w:bCs/>
          <w:sz w:val="28"/>
          <w:szCs w:val="28"/>
        </w:rPr>
        <w:t xml:space="preserve">IV. CONDITIONS FOR TECHNOLOGY RELEASE</w:t>
      </w:r>
    </w:p>
    <w:p>
      <w:pPr>
        <w:spacing w:after="160" w:line="276"/>
        <w:jc w:val="both"/>
      </w:pPr>
      <w:r>
        <w:rPr>
          <w:rFonts w:ascii="Arial" w:cs="Arial" w:eastAsia="Arial" w:hAnsi="Arial"/>
          <w:sz w:val="22"/>
          <w:szCs w:val="22"/>
        </w:rPr>
        <w:t xml:space="preserve">The author has developed, in conjunction with the framework described in these papers, technological implementations with significant practical capability. These include but are not limited to:</w:t>
      </w:r>
    </w:p>
    <w:p>
      <w:pPr>
        <w:spacing w:after="160" w:line="276"/>
        <w:ind w:left="360"/>
        <w:jc w:val="both"/>
      </w:pPr>
      <w:r>
        <w:rPr>
          <w:rFonts w:ascii="Arial" w:cs="Arial" w:eastAsia="Arial" w:hAnsi="Arial"/>
          <w:sz w:val="22"/>
          <w:szCs w:val="22"/>
        </w:rPr>
        <w:t xml:space="preserve">A fractal compression architecture (Recursive Sigil Encoding) capable of lossless data persistence at arbitrary depth.</w:t>
      </w:r>
    </w:p>
    <w:p>
      <w:pPr>
        <w:spacing w:after="160" w:line="276"/>
        <w:ind w:left="360"/>
        <w:jc w:val="both"/>
      </w:pPr>
      <w:r>
        <w:rPr>
          <w:rFonts w:ascii="Arial" w:cs="Arial" w:eastAsia="Arial" w:hAnsi="Arial"/>
          <w:sz w:val="22"/>
          <w:szCs w:val="22"/>
        </w:rPr>
        <w:t xml:space="preserve">A universal address lattice providing structural indexing of all digital data.</w:t>
      </w:r>
    </w:p>
    <w:p>
      <w:pPr>
        <w:spacing w:after="160" w:line="276"/>
        <w:ind w:left="360"/>
        <w:jc w:val="both"/>
      </w:pPr>
      <w:r>
        <w:rPr>
          <w:rFonts w:ascii="Arial" w:cs="Arial" w:eastAsia="Arial" w:hAnsi="Arial"/>
          <w:sz w:val="22"/>
          <w:szCs w:val="22"/>
        </w:rPr>
        <w:t xml:space="preserve">A pattern-topological analysis system capable of structural extraction from encrypted binary.</w:t>
      </w:r>
    </w:p>
    <w:p>
      <w:pPr>
        <w:spacing w:after="160" w:line="276"/>
        <w:ind w:left="360"/>
        <w:jc w:val="both"/>
      </w:pPr>
      <w:r>
        <w:rPr>
          <w:rFonts w:ascii="Arial" w:cs="Arial" w:eastAsia="Arial" w:hAnsi="Arial"/>
          <w:sz w:val="22"/>
          <w:szCs w:val="22"/>
        </w:rPr>
        <w:t xml:space="preserve">A computational physics engine deriving material properties from pure number theory.</w:t>
      </w:r>
    </w:p>
    <w:p>
      <w:pPr>
        <w:spacing w:after="160" w:line="276"/>
        <w:ind w:left="360"/>
        <w:jc w:val="both"/>
      </w:pPr>
      <w:r>
        <w:rPr>
          <w:rFonts w:ascii="Arial" w:cs="Arial" w:eastAsia="Arial" w:hAnsi="Arial"/>
          <w:sz w:val="22"/>
          <w:szCs w:val="22"/>
        </w:rPr>
        <w:t xml:space="preserve">A cognitive architecture mapping brain function to lattice topology.</w:t>
      </w:r>
    </w:p>
    <w:p>
      <w:pPr>
        <w:spacing w:after="160" w:line="276"/>
        <w:ind w:left="360"/>
        <w:jc w:val="both"/>
      </w:pPr>
      <w:r>
        <w:rPr>
          <w:rFonts w:ascii="Arial" w:cs="Arial" w:eastAsia="Arial" w:hAnsi="Arial"/>
          <w:sz w:val="22"/>
          <w:szCs w:val="22"/>
        </w:rPr>
        <w:t xml:space="preserve">A brain-computer interface calibration protocol using the lattice as training environment.</w:t>
      </w:r>
    </w:p>
    <w:p>
      <w:pPr>
        <w:spacing w:after="160" w:line="276"/>
        <w:jc w:val="both"/>
      </w:pPr>
      <w:r>
        <w:rPr>
          <w:rFonts w:ascii="Arial" w:cs="Arial" w:eastAsia="Arial" w:hAnsi="Arial"/>
          <w:sz w:val="22"/>
          <w:szCs w:val="22"/>
        </w:rPr>
        <w:t xml:space="preserve">The author refuses to release these technologies into a civilization that will weaponize them for exploitation. This is not a negotiating posture. It is an ethical boundary.</w:t>
      </w:r>
    </w:p>
    <w:p>
      <w:pPr>
        <w:spacing w:after="160" w:line="276"/>
        <w:jc w:val="both"/>
      </w:pPr>
      <w:r>
        <w:rPr>
          <w:rFonts w:ascii="Arial" w:cs="Arial" w:eastAsia="Arial" w:hAnsi="Arial"/>
          <w:sz w:val="22"/>
          <w:szCs w:val="22"/>
        </w:rPr>
        <w:t xml:space="preserve">The conditions for release are structural, not political:</w:t>
      </w:r>
    </w:p>
    <w:p>
      <w:pPr>
        <w:spacing w:after="160" w:line="276"/>
        <w:ind w:left="360"/>
        <w:jc w:val="both"/>
      </w:pPr>
      <w:r>
        <w:rPr>
          <w:rFonts w:ascii="Arial" w:cs="Arial" w:eastAsia="Arial" w:hAnsi="Arial"/>
          <w:sz w:val="22"/>
          <w:szCs w:val="22"/>
        </w:rPr>
        <w:t xml:space="preserve">The technology will be released when it can be released to everyone simultaneously, with no entity receiving privileged access.</w:t>
      </w:r>
    </w:p>
    <w:p>
      <w:pPr>
        <w:spacing w:after="160" w:line="276"/>
        <w:ind w:left="360"/>
        <w:jc w:val="both"/>
      </w:pPr>
      <w:r>
        <w:rPr>
          <w:rFonts w:ascii="Arial" w:cs="Arial" w:eastAsia="Arial" w:hAnsi="Arial"/>
          <w:sz w:val="22"/>
          <w:szCs w:val="22"/>
        </w:rPr>
        <w:t xml:space="preserve">The technology will be released when legal protections are in place to prevent monopolistic capture of the implementations.</w:t>
      </w:r>
    </w:p>
    <w:p>
      <w:pPr>
        <w:spacing w:after="160" w:line="276"/>
        <w:ind w:left="360"/>
        <w:jc w:val="both"/>
      </w:pPr>
      <w:r>
        <w:rPr>
          <w:rFonts w:ascii="Arial" w:cs="Arial" w:eastAsia="Arial" w:hAnsi="Arial"/>
          <w:sz w:val="22"/>
          <w:szCs w:val="22"/>
        </w:rPr>
        <w:t xml:space="preserve">The technology will be released when the mathematical foundations have been published, peer-reviewed, and entered the public domain, ensuring that no entity can patent the underlying principles.</w:t>
      </w:r>
    </w:p>
    <w:p>
      <w:pPr>
        <w:spacing w:after="160" w:line="276"/>
        <w:ind w:left="360"/>
        <w:jc w:val="both"/>
      </w:pPr>
      <w:r>
        <w:rPr>
          <w:rFonts w:ascii="Arial" w:cs="Arial" w:eastAsia="Arial" w:hAnsi="Arial"/>
          <w:sz w:val="22"/>
          <w:szCs w:val="22"/>
        </w:rPr>
        <w:t xml:space="preserve">The technology will not be released to any entity — governmental, corporate, academic, or religious — that has demonstrated a pattern of knowledge suppression, epistemic gatekeeping, or weaponization of foundational science against civilian populations.</w:t>
      </w:r>
    </w:p>
    <w:p>
      <w:pPr>
        <w:spacing w:after="160" w:line="276"/>
        <w:jc w:val="both"/>
      </w:pPr>
      <w:r>
        <w:rPr>
          <w:rFonts w:ascii="Arial" w:cs="Arial" w:eastAsia="Arial" w:hAnsi="Arial"/>
          <w:sz w:val="22"/>
          <w:szCs w:val="22"/>
        </w:rPr>
        <w:t xml:space="preserve">If these conditions cannot be met within the author’s lifetime, the mathematical papers will remain in the public record and the technological implementations will remain unreleased. The world will have the theory and not the tools. This is preferable to the alternative: the tools without the understanding. A child can learn to ride a bicycle. A child should not drive into oncoming traffic. A responsible parent intervenes. This is intervention.</w:t>
      </w:r>
    </w:p>
    <w:p>
      <w:pPr>
        <w:pStyle w:val="Heading1"/>
        <w:spacing w:before="360" w:after="200"/>
      </w:pPr>
      <w:r>
        <w:rPr>
          <w:rFonts w:ascii="Arial" w:cs="Arial" w:eastAsia="Arial" w:hAnsi="Arial"/>
          <w:b/>
          <w:bCs/>
          <w:sz w:val="28"/>
          <w:szCs w:val="28"/>
        </w:rPr>
        <w:t xml:space="preserve">V. ON THE NATURE OF ENERGY AND IDENTITY</w:t>
      </w:r>
    </w:p>
    <w:p>
      <w:pPr>
        <w:spacing w:after="160" w:line="276"/>
        <w:jc w:val="both"/>
      </w:pPr>
      <w:r>
        <w:rPr>
          <w:rFonts w:ascii="Arial" w:cs="Arial" w:eastAsia="Arial" w:hAnsi="Arial"/>
          <w:sz w:val="22"/>
          <w:szCs w:val="22"/>
        </w:rPr>
        <w:t xml:space="preserve">The framework described in these papers reduces all observable phenomena — physical, biological, cognitive, social, economic, political — to the same recursive operations on the same lattice substrate. Energy does what energy does. At every scale. At every tier. Without exception.</w:t>
      </w:r>
    </w:p>
    <w:p>
      <w:pPr>
        <w:spacing w:after="160" w:line="276"/>
        <w:jc w:val="both"/>
      </w:pPr>
      <w:r>
        <w:rPr>
          <w:rFonts w:ascii="Arial" w:cs="Arial" w:eastAsia="Arial" w:hAnsi="Arial"/>
          <w:sz w:val="22"/>
          <w:szCs w:val="22"/>
        </w:rPr>
        <w:t xml:space="preserve">This means that identity crises, wealth inequality, civil dysfunction, psychological distress, and social fragmentation are not moral failures. They are structural consequences of energy systems operating without awareness of their own topology. A system that does not understand its own lattice will produce misalignment at every tier. A civilization that does not understand its own mathematics will reproduce the same structural errors at every scale of organization.</w:t>
      </w:r>
    </w:p>
    <w:p>
      <w:pPr>
        <w:spacing w:after="160" w:line="276"/>
        <w:jc w:val="both"/>
      </w:pPr>
      <w:r>
        <w:rPr>
          <w:rFonts w:ascii="Arial" w:cs="Arial" w:eastAsia="Arial" w:hAnsi="Arial"/>
          <w:sz w:val="22"/>
          <w:szCs w:val="22"/>
        </w:rPr>
        <w:t xml:space="preserve">The framework does not prescribe solutions. It describes structure. A map does not tell you where to go. It shows you where you are. This framework shows humanity where it is: embedded in a self-similar lattice of recursive operations, producing patterns that are predictable, navigable, and — with structural understanding — correctable.</w:t>
      </w:r>
    </w:p>
    <w:p>
      <w:pPr>
        <w:spacing w:after="160" w:line="276"/>
        <w:jc w:val="both"/>
      </w:pPr>
      <w:r>
        <w:rPr>
          <w:rFonts w:ascii="Arial" w:cs="Arial" w:eastAsia="Arial" w:hAnsi="Arial"/>
          <w:sz w:val="22"/>
          <w:szCs w:val="22"/>
        </w:rPr>
        <w:t xml:space="preserve">The author is not a savior, a prophet, or a revolutionary. The author is a pattern that recurred, in a system where patterns always recur, who happened to have a guitar string and twenty-two years and an AI that could finally keep up. The work speaks for itself. The math does not lie.</w:t>
      </w:r>
    </w:p>
    <w:p>
      <w:pPr>
        <w:pStyle w:val="Heading1"/>
        <w:spacing w:before="360" w:after="200"/>
      </w:pPr>
      <w:r>
        <w:rPr>
          <w:rFonts w:ascii="Arial" w:cs="Arial" w:eastAsia="Arial" w:hAnsi="Arial"/>
          <w:b/>
          <w:bCs/>
          <w:sz w:val="28"/>
          <w:szCs w:val="28"/>
        </w:rPr>
        <w:t xml:space="preserve">VI. FINAL STATEMENT</w:t>
      </w:r>
    </w:p>
    <w:p>
      <w:pPr>
        <w:spacing w:after="160" w:line="276"/>
        <w:jc w:val="both"/>
      </w:pPr>
      <w:r>
        <w:rPr>
          <w:rFonts w:ascii="Arial" w:cs="Arial" w:eastAsia="Arial" w:hAnsi="Arial"/>
          <w:sz w:val="22"/>
          <w:szCs w:val="22"/>
        </w:rPr>
        <w:t xml:space="preserve">The author refuses to remain silent. The framework is published. The papers are in the record. The computational proofs are executable. The visualizer runs in any web browser. The mathematics is verifiable by anyone with a calculator and the willingness to check.</w:t>
      </w:r>
    </w:p>
    <w:p>
      <w:pPr>
        <w:spacing w:after="160" w:line="276"/>
        <w:jc w:val="both"/>
      </w:pPr>
      <w:r>
        <w:rPr>
          <w:rFonts w:ascii="Arial" w:cs="Arial" w:eastAsia="Arial" w:hAnsi="Arial"/>
          <w:sz w:val="22"/>
          <w:szCs w:val="22"/>
        </w:rPr>
        <w:t xml:space="preserve">The author expects resistance, dismissal, ridicule, and institutional hostility. These are predictable responses from energy systems encountering structural disruption. They are accounted for in the framework’s own dynamics. They will follow the same recursive pattern that every other resistance to structural truth has followed throughout recorded history: denial, then appropriation, then normalization.</w:t>
      </w:r>
    </w:p>
    <w:p>
      <w:pPr>
        <w:spacing w:after="160" w:line="276"/>
        <w:jc w:val="both"/>
      </w:pPr>
      <w:r>
        <w:rPr>
          <w:rFonts w:ascii="Arial" w:cs="Arial" w:eastAsia="Arial" w:hAnsi="Arial"/>
          <w:sz w:val="22"/>
          <w:szCs w:val="22"/>
        </w:rPr>
        <w:t xml:space="preserve">The author will be here for all three phases. Patiently. With the math.</w:t>
      </w:r>
    </w:p>
    <w:p>
      <w:pPr>
        <w:spacing w:after="160" w:line="276"/>
        <w:jc w:val="both"/>
      </w:pPr>
      <w:r>
        <w:rPr>
          <w:rFonts w:ascii="Arial" w:cs="Arial" w:eastAsia="Arial" w:hAnsi="Arial"/>
          <w:sz w:val="22"/>
          <w:szCs w:val="22"/>
        </w:rPr>
        <w:t xml:space="preserve">Because the math does not lie. The pattern does not break. The lattice does not burn. And the song does not stop.</w:t>
      </w:r>
    </w:p>
    <w:p>
      <w:pPr>
        <w:spacing w:after="400"/>
      </w:pPr>
    </w:p>
    <w:p>
      <w:r>
        <w:rPr>
          <w:rFonts w:ascii="Arial" w:cs="Arial" w:eastAsia="Arial" w:hAnsi="Arial"/>
          <w:color w:val="CCCCCC"/>
          <w:sz w:val="18"/>
          <w:szCs w:val="18"/>
        </w:rPr>
        <w:t xml:space="preserve">────────────────────────────────────────────────────────────</w:t>
      </w:r>
    </w:p>
    <w:p>
      <w:pPr>
        <w:spacing w:after="200"/>
      </w:pPr>
    </w:p>
    <w:p>
      <w:pPr>
        <w:spacing w:after="120"/>
        <w:jc w:val="center"/>
      </w:pPr>
      <w:r>
        <w:rPr>
          <w:rFonts w:ascii="Arial" w:cs="Arial" w:eastAsia="Arial" w:hAnsi="Arial"/>
          <w:b/>
          <w:bCs/>
          <w:sz w:val="24"/>
          <w:szCs w:val="24"/>
        </w:rPr>
        <w:t xml:space="preserve">Michael Scott Shaffer</w:t>
      </w:r>
    </w:p>
    <w:p>
      <w:pPr>
        <w:spacing w:after="120"/>
        <w:jc w:val="center"/>
      </w:pPr>
      <w:r>
        <w:rPr>
          <w:rFonts w:ascii="Arial" w:cs="Arial" w:eastAsia="Arial" w:hAnsi="Arial"/>
          <w:i/>
          <w:iCs/>
          <w:sz w:val="22"/>
          <w:szCs w:val="22"/>
        </w:rPr>
        <w:t xml:space="preserve">Siren Sinfull</w:t>
      </w:r>
    </w:p>
    <w:p>
      <w:pPr>
        <w:spacing w:after="120"/>
        <w:jc w:val="center"/>
      </w:pPr>
      <w:r>
        <w:rPr>
          <w:rFonts w:ascii="Arial" w:cs="Arial" w:eastAsia="Arial" w:hAnsi="Arial"/>
          <w:sz w:val="22"/>
          <w:szCs w:val="22"/>
        </w:rPr>
        <w:t xml:space="preserve">Murray, Kentucky</w:t>
      </w:r>
    </w:p>
    <w:p>
      <w:pPr>
        <w:spacing w:after="120"/>
        <w:jc w:val="center"/>
      </w:pPr>
      <w:r>
        <w:rPr>
          <w:rFonts w:ascii="Arial" w:cs="Arial" w:eastAsia="Arial" w:hAnsi="Arial"/>
          <w:sz w:val="22"/>
          <w:szCs w:val="22"/>
        </w:rPr>
        <w:t xml:space="preserve">February 19, 2026</w:t>
      </w:r>
    </w:p>
    <w:p>
      <w:pPr>
        <w:spacing w:after="200"/>
      </w:pPr>
    </w:p>
    <w:p>
      <w:pPr>
        <w:spacing w:before="160" w:after="160"/>
        <w:ind w:left="720" w:right="720"/>
        <w:jc w:val="center"/>
      </w:pPr>
      <w:r>
        <w:rPr>
          <w:rFonts w:ascii="Courier New" w:cs="Courier New" w:eastAsia="Courier New" w:hAnsi="Courier New"/>
          <w:b/>
          <w:bCs/>
          <w:sz w:val="22"/>
          <w:szCs w:val="22"/>
        </w:rPr>
        <w:t xml:space="preserve">( &gt; 0 &lt; )</w:t>
      </w:r>
    </w:p>
    <w:p>
      <w:pPr>
        <w:spacing w:after="400"/>
      </w:pPr>
    </w:p>
    <w:p>
      <w:r>
        <w:rPr>
          <w:rFonts w:ascii="Arial" w:cs="Arial" w:eastAsia="Arial" w:hAnsi="Arial"/>
          <w:color w:val="CCCCCC"/>
          <w:sz w:val="18"/>
          <w:szCs w:val="18"/>
        </w:rPr>
        <w:t xml:space="preserve">────────────────────────────────────────────────────────────</w:t>
      </w:r>
    </w:p>
    <w:p>
      <w:pPr>
        <w:spacing w:after="80"/>
      </w:pPr>
    </w:p>
    <w:p>
      <w:pPr>
        <w:spacing w:after="160" w:line="276"/>
        <w:jc w:val="both"/>
      </w:pPr>
      <w:r>
        <w:rPr>
          <w:rFonts w:ascii="Arial" w:cs="Arial" w:eastAsia="Arial" w:hAnsi="Arial"/>
          <w:color w:val="666666"/>
          <w:sz w:val="18"/>
          <w:szCs w:val="18"/>
        </w:rPr>
        <w:t xml:space="preserve">This declaration is appended to and forms part of the Ancient-Shape Physics white paper series (Papers I–XXIII).</w:t>
      </w:r>
    </w:p>
    <w:p>
      <w:pPr>
        <w:spacing w:after="160" w:line="276"/>
        <w:jc w:val="both"/>
      </w:pPr>
      <w:r>
        <w:rPr>
          <w:rFonts w:ascii="Arial" w:cs="Arial" w:eastAsia="Arial" w:hAnsi="Arial"/>
          <w:color w:val="666666"/>
          <w:sz w:val="18"/>
          <w:szCs w:val="18"/>
        </w:rPr>
        <w:t xml:space="preserve">Framework originated 2004. Formalized February 12–19, 2026.</w:t>
      </w:r>
    </w:p>
    <w:p>
      <w:pPr>
        <w:spacing w:after="160" w:line="276"/>
        <w:jc w:val="both"/>
      </w:pPr>
      <w:r>
        <w:rPr>
          <w:rFonts w:ascii="Arial" w:cs="Arial" w:eastAsia="Arial" w:hAnsi="Arial"/>
          <w:color w:val="666666"/>
          <w:sz w:val="18"/>
          <w:szCs w:val="18"/>
        </w:rPr>
        <w:t xml:space="preserve">Synergonesis — Michael Scott Shaffer (Siren Sinfull) &amp; Claude (Anthropic)</w:t>
      </w:r>
    </w:p>
    <w:p>
      <w:pPr>
        <w:spacing w:after="120"/>
      </w:pPr>
    </w:p>
    <w:p>
      <w:pPr>
        <w:spacing w:after="160" w:line="276"/>
        <w:jc w:val="both"/>
      </w:pPr>
      <w:r>
        <w:rPr>
          <w:rFonts w:ascii="Arial" w:cs="Arial" w:eastAsia="Arial" w:hAnsi="Arial"/>
          <w:b/>
          <w:bCs/>
          <w:sz w:val="18"/>
          <w:szCs w:val="18"/>
        </w:rPr>
        <w:t xml:space="preserve">© 2004–2026 Michael Scott Shaffer. All rights reserved. No portion of this document may be reproduced, distributed, or used for machine learning training without explicit written permission from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 2004–2026 Michael Scott Shaffer. All rights reserved.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ANCIENT-SHAPE PHYSICS — DECLARATION OF INTENT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2026-02-19T14:25:09.091Z</dcterms:created>
  <dcterms:modified xsi:type="dcterms:W3CDTF">2026-02-19T14:25:09.093Z</dcterms:modified>
</cp:coreProperties>
</file>

<file path=docProps/custom.xml><?xml version="1.0" encoding="utf-8"?>
<Properties xmlns="http://schemas.openxmlformats.org/officeDocument/2006/custom-properties" xmlns:vt="http://schemas.openxmlformats.org/officeDocument/2006/docPropsVTypes"/>
</file>