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4F72"/>
          <w:sz w:val="48"/>
          <w:szCs w:val="48"/>
        </w:rPr>
        <w:t xml:space="preserve">CAPACTIVE</w:t>
      </w:r>
    </w:p>
    <w:p>
      <w:pPr>
        <w:spacing w:after="120"/>
        <w:jc w:val="center"/>
      </w:pPr>
      <w:r>
        <w:rPr>
          <w:rFonts w:ascii="Arial" w:cs="Arial" w:eastAsia="Arial" w:hAnsi="Arial"/>
          <w:color w:val="2C3E50"/>
          <w:sz w:val="36"/>
          <w:szCs w:val="36"/>
        </w:rPr>
        <w:t xml:space="preserve">Document Extractor</w:t>
      </w:r>
    </w:p>
    <w:p>
      <w:pPr>
        <w:pBdr>
          <w:bottom w:val="single" w:color="1B4F72" w:sz="6" w:space="8"/>
        </w:pBdr>
        <w:spacing w:after="600"/>
        <w:jc w:val="center"/>
      </w:pPr>
      <w:r>
        <w:rPr>
          <w:rFonts w:ascii="Arial" w:cs="Arial" w:eastAsia="Arial" w:hAnsi="Arial"/>
          <w:color w:val="2C3E50"/>
          <w:sz w:val="28"/>
          <w:szCs w:val="28"/>
        </w:rPr>
        <w:t xml:space="preserve">Platform Development Recap</w:t>
      </w:r>
    </w:p>
    <w:p>
      <w:pPr>
        <w:spacing w:after="80"/>
        <w:jc w:val="center"/>
      </w:pPr>
      <w:r>
        <w:rPr>
          <w:rFonts w:ascii="Arial" w:cs="Arial" w:eastAsia="Arial" w:hAnsi="Arial"/>
          <w:color w:val="666666"/>
          <w:sz w:val="22"/>
          <w:szCs w:val="22"/>
        </w:rPr>
        <w:t xml:space="preserve">Prepared for Partner Review</w:t>
      </w:r>
    </w:p>
    <w:p>
      <w:pPr>
        <w:spacing w:after="80"/>
        <w:jc w:val="center"/>
      </w:pPr>
      <w:r>
        <w:rPr>
          <w:rFonts w:ascii="Arial" w:cs="Arial" w:eastAsia="Arial" w:hAnsi="Arial"/>
          <w:color w:val="666666"/>
          <w:sz w:val="22"/>
          <w:szCs w:val="22"/>
        </w:rPr>
        <w:t xml:space="preserve">May 2026</w:t>
      </w:r>
    </w:p>
    <w:p>
      <w:pPr>
        <w:spacing w:after="200"/>
        <w:jc w:val="center"/>
      </w:pPr>
      <w:r>
        <w:rPr>
          <w:rFonts w:ascii="Arial" w:cs="Arial" w:eastAsia="Arial" w:hAnsi="Arial"/>
          <w:b/>
          <w:bCs/>
          <w:color w:val="27AE60"/>
          <w:sz w:val="22"/>
          <w:szCs w:val="22"/>
        </w:rPr>
        <w:t xml:space="preserve">Thursday Load-In Readiness</w:t>
      </w:r>
    </w:p>
    <w:p>
      <w:r>
        <w:br w:type="page"/>
      </w:r>
    </w:p>
    <w:p>
      <w:pPr>
        <w:pStyle w:val="Heading1"/>
        <w:spacing w:after="120" w:before="360"/>
      </w:pPr>
      <w:r>
        <w:rPr>
          <w:rFonts w:ascii="Arial" w:cs="Arial" w:eastAsia="Arial" w:hAnsi="Arial"/>
        </w:rPr>
        <w:t xml:space="preserve">Executive Summary</w:t>
      </w:r>
    </w:p>
    <w:p>
      <w:pPr>
        <w:spacing w:after="120"/>
      </w:pPr>
      <w:r>
        <w:rPr>
          <w:rFonts w:ascii="Arial" w:cs="Arial" w:eastAsia="Arial" w:hAnsi="Arial"/>
          <w:sz w:val="22"/>
          <w:szCs w:val="22"/>
        </w:rPr>
        <w:t xml:space="preserve">The Capactive Document Extractor is a locally-hosted platform that ingests, classifies, and extracts structured financial data from commercial real estate documents. All processing stays on-device with no cloud dependencies.</w:t>
      </w:r>
    </w:p>
    <w:p>
      <w:pPr>
        <w:spacing w:after="120"/>
      </w:pPr>
      <w:r>
        <w:rPr>
          <w:rFonts w:ascii="Arial" w:cs="Arial" w:eastAsia="Arial" w:hAnsi="Arial"/>
          <w:sz w:val="22"/>
          <w:szCs w:val="22"/>
        </w:rPr>
        <w:t xml:space="preserve">Over the current development sprint, the platform has evolved from a basic document parser into a full extraction and synthesis pipeline with portfolio-level financial analysis, automated quality scoring, and a multi-tenant architecture ready for customer onboarding.</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40</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12</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13</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b/>
                <w:bCs/>
                <w:color w:val="1B4F72"/>
                <w:sz w:val="20"/>
                <w:szCs w:val="20"/>
              </w:rPr>
              <w:t xml:space="preserve">4x</w:t>
            </w:r>
          </w:p>
        </w:tc>
      </w:tr>
      <w:tr>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color w:val="000000"/>
                <w:sz w:val="20"/>
                <w:szCs w:val="20"/>
              </w:rPr>
              <w:t xml:space="preserve">Documents Ingested</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color w:val="000000"/>
                <w:sz w:val="20"/>
                <w:szCs w:val="20"/>
              </w:rPr>
              <w:t xml:space="preserve">Document Types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color w:val="000000"/>
                <w:sz w:val="20"/>
                <w:szCs w:val="20"/>
              </w:rPr>
              <w:t xml:space="preserve">Financial Periods</w:t>
            </w:r>
          </w:p>
        </w:tc>
        <w:tc>
          <w:tcPr>
            <w:tcW w:type="dxa" w:w="234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pPr>
              <w:jc w:val="center"/>
            </w:pPr>
            <w:r>
              <w:rPr>
                <w:rFonts w:ascii="Arial" w:cs="Arial" w:eastAsia="Arial" w:hAnsi="Arial"/>
                <w:color w:val="000000"/>
                <w:sz w:val="20"/>
                <w:szCs w:val="20"/>
              </w:rPr>
              <w:t xml:space="preserve">Faster Ingestion</w:t>
            </w:r>
          </w:p>
        </w:tc>
      </w:tr>
    </w:tbl>
    <w:p>
      <w:pPr>
        <w:pStyle w:val="Heading1"/>
        <w:spacing w:after="120" w:before="360"/>
      </w:pPr>
      <w:r>
        <w:rPr>
          <w:rFonts w:ascii="Arial" w:cs="Arial" w:eastAsia="Arial" w:hAnsi="Arial"/>
        </w:rPr>
        <w:t xml:space="preserve">Platform Architecture</w:t>
      </w:r>
    </w:p>
    <w:p>
      <w:pPr>
        <w:pStyle w:val="Heading2"/>
        <w:spacing w:after="120" w:before="240"/>
      </w:pPr>
      <w:r>
        <w:rPr>
          <w:rFonts w:ascii="Arial" w:cs="Arial" w:eastAsia="Arial" w:hAnsi="Arial"/>
        </w:rPr>
        <w:t xml:space="preserve">Two-Phase Processing</w:t>
      </w:r>
    </w:p>
    <w:p>
      <w:pPr>
        <w:spacing w:after="120"/>
      </w:pPr>
      <w:r>
        <w:rPr>
          <w:rFonts w:ascii="Arial" w:cs="Arial" w:eastAsia="Arial" w:hAnsi="Arial"/>
          <w:sz w:val="22"/>
          <w:szCs w:val="22"/>
        </w:rPr>
        <w:t xml:space="preserve">The platform uses a two-phase architecture designed for speed and accuracy:</w:t>
      </w:r>
    </w:p>
    <w:p>
      <w:pPr>
        <w:spacing w:after="60"/>
        <w:ind w:left="360" w:hanging="180"/>
      </w:pPr>
      <w:r>
        <w:rPr>
          <w:rFonts w:ascii="Arial" w:cs="Arial" w:eastAsia="Arial" w:hAnsi="Arial"/>
          <w:sz w:val="22"/>
          <w:szCs w:val="22"/>
        </w:rPr>
        <w:t xml:space="preserve">•  Phase 1 (Ingest): Fast document ingestion with text extraction, table parsing, keyword classification, and financial data extraction. No LLM required. Processes documents in parallel with configurable worker pools.</w:t>
      </w:r>
    </w:p>
    <w:p>
      <w:pPr>
        <w:spacing w:after="60"/>
        <w:ind w:left="360" w:hanging="180"/>
      </w:pPr>
      <w:r>
        <w:rPr>
          <w:rFonts w:ascii="Arial" w:cs="Arial" w:eastAsia="Arial" w:hAnsi="Arial"/>
          <w:sz w:val="22"/>
          <w:szCs w:val="22"/>
        </w:rPr>
        <w:t xml:space="preserve">•  Phase 2 (Analyze): On-demand deep analysis using a local LLM (Ollama llama3.1:8b). Extracts nuanced financial terms, loan structures, and cross-document relationships. Runs per-property when triggered.</w:t>
      </w:r>
    </w:p>
    <w:p>
      <w:pPr>
        <w:pStyle w:val="Heading2"/>
        <w:spacing w:after="120" w:before="240"/>
      </w:pPr>
      <w:r>
        <w:rPr>
          <w:rFonts w:ascii="Arial" w:cs="Arial" w:eastAsia="Arial" w:hAnsi="Arial"/>
        </w:rPr>
        <w:t xml:space="preserve">Supported Document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Extensions</w:t>
            </w:r>
          </w:p>
        </w:tc>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PDF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.pdf</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Operating statements, HUD forms, closing docs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Excel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.xlsx, .xls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Budgets, proformas, rent rolls, GL exports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Word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.docx, .doc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Loan agreements, partnership docs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Email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.msg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Due diligence correspondence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Archives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.zip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Bulk document packages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Images/Text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.png, .jpg, .csv, .txt, .md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Scanned docs (OCR), data files</w:t>
            </w:r>
          </w:p>
        </w:tc>
      </w:tr>
    </w:tbl>
    <w:p>
      <w:pPr>
        <w:pStyle w:val="Heading2"/>
        <w:spacing w:after="120" w:before="240"/>
      </w:pPr>
      <w:r>
        <w:rPr>
          <w:rFonts w:ascii="Arial" w:cs="Arial" w:eastAsia="Arial" w:hAnsi="Arial"/>
        </w:rPr>
        <w:t xml:space="preserve">Document Classification</w:t>
      </w:r>
    </w:p>
    <w:p>
      <w:pPr>
        <w:spacing w:after="120"/>
      </w:pPr>
      <w:r>
        <w:rPr>
          <w:rFonts w:ascii="Arial" w:cs="Arial" w:eastAsia="Arial" w:hAnsi="Arial"/>
          <w:sz w:val="22"/>
          <w:szCs w:val="22"/>
        </w:rPr>
        <w:t xml:space="preserve">Automatic classification into 12 CRE document types using weighted keyword scoring: operating statements, rent rolls, general ledgers, proformas, equity waterfalls, HUD forms, closing documents, loan agreements, partnership agreements, organizational documents, due diligence, and reference materials. Title-position keywords receive higher weight for improved accuracy.</w:t>
      </w:r>
    </w:p>
    <w:p>
      <w:r>
        <w:br w:type="page"/>
      </w:r>
    </w:p>
    <w:p>
      <w:pPr>
        <w:pStyle w:val="Heading1"/>
        <w:spacing w:after="120" w:before="360"/>
      </w:pPr>
      <w:r>
        <w:rPr>
          <w:rFonts w:ascii="Arial" w:cs="Arial" w:eastAsia="Arial" w:hAnsi="Arial"/>
        </w:rPr>
        <w:t xml:space="preserve">Financial Extraction Pipeline</w:t>
      </w:r>
    </w:p>
    <w:p>
      <w:pPr>
        <w:pStyle w:val="Heading2"/>
        <w:spacing w:after="120" w:before="240"/>
      </w:pPr>
      <w:r>
        <w:rPr>
          <w:rFonts w:ascii="Arial" w:cs="Arial" w:eastAsia="Arial" w:hAnsi="Arial"/>
        </w:rPr>
        <w:t xml:space="preserve">Column-Year Parser</w:t>
      </w:r>
    </w:p>
    <w:p>
      <w:pPr>
        <w:spacing w:after="120"/>
      </w:pPr>
      <w:r>
        <w:rPr>
          <w:rFonts w:ascii="Arial" w:cs="Arial" w:eastAsia="Arial" w:hAnsi="Arial"/>
          <w:sz w:val="22"/>
          <w:szCs w:val="22"/>
        </w:rPr>
        <w:t xml:space="preserve">Purpose-built parser for CRE spreadsheets that handles the industry-standard format of financial data organized in year columns (2023A, 2024A, 2025B, 2026F). Handles multi-row headers, merged cells, subtotal detection, and cross-sheet deduplication. Period suffixes are normalized: A=Actual, B=Budget, F=Forecast, P=Proforma.</w:t>
      </w:r>
    </w:p>
    <w:p>
      <w:pPr>
        <w:pStyle w:val="Heading2"/>
        <w:spacing w:after="120" w:before="240"/>
      </w:pPr>
      <w:r>
        <w:rPr>
          <w:rFonts w:ascii="Arial" w:cs="Arial" w:eastAsia="Arial" w:hAnsi="Arial"/>
        </w:rPr>
        <w:t xml:space="preserve">Financial Synthesis</w:t>
      </w:r>
    </w:p>
    <w:p>
      <w:pPr>
        <w:spacing w:after="120"/>
      </w:pPr>
      <w:r>
        <w:rPr>
          <w:rFonts w:ascii="Arial" w:cs="Arial" w:eastAsia="Arial" w:hAnsi="Arial"/>
          <w:sz w:val="22"/>
          <w:szCs w:val="22"/>
        </w:rPr>
        <w:t xml:space="preserve">The synthesis engine aggregates extracted data across all documents for a property, producing a unified NOI timeline. Key capabilities:</w:t>
      </w:r>
    </w:p>
    <w:p>
      <w:pPr>
        <w:spacing w:after="60"/>
        <w:ind w:left="360" w:hanging="180"/>
      </w:pPr>
      <w:r>
        <w:rPr>
          <w:rFonts w:ascii="Arial" w:cs="Arial" w:eastAsia="Arial" w:hAnsi="Arial"/>
          <w:sz w:val="22"/>
          <w:szCs w:val="22"/>
        </w:rPr>
        <w:t xml:space="preserve">•  Document-level source selection per period: picks the primary document with the most non-subtotal detail items for each financial period.</w:t>
      </w:r>
    </w:p>
    <w:p>
      <w:pPr>
        <w:spacing w:after="60"/>
        <w:ind w:left="360" w:hanging="180"/>
      </w:pPr>
      <w:r>
        <w:rPr>
          <w:rFonts w:ascii="Arial" w:cs="Arial" w:eastAsia="Arial" w:hAnsi="Arial"/>
          <w:sz w:val="22"/>
          <w:szCs w:val="22"/>
        </w:rPr>
        <w:t xml:space="preserve">•  Source authority ranking: GL (highest) &gt; Operating Statements/Rent Rolls &gt; Closing/HUD &gt; Due Diligence/Proforma &gt; Lease/Loan &gt; Reference (lowest).</w:t>
      </w:r>
    </w:p>
    <w:p>
      <w:pPr>
        <w:spacing w:after="60"/>
        <w:ind w:left="360" w:hanging="180"/>
      </w:pPr>
      <w:r>
        <w:rPr>
          <w:rFonts w:ascii="Arial" w:cs="Arial" w:eastAsia="Arial" w:hAnsi="Arial"/>
          <w:sz w:val="22"/>
          <w:szCs w:val="22"/>
        </w:rPr>
        <w:t xml:space="preserve">•  Subtotal fallback: When a period has zero detail items for income or expense, the engine falls back to the best available subtotal value (e.g., Total OPEX) from any document.</w:t>
      </w:r>
    </w:p>
    <w:p>
      <w:pPr>
        <w:spacing w:after="60"/>
        <w:ind w:left="360" w:hanging="180"/>
      </w:pPr>
      <w:r>
        <w:rPr>
          <w:rFonts w:ascii="Arial" w:cs="Arial" w:eastAsia="Arial" w:hAnsi="Arial"/>
          <w:sz w:val="22"/>
          <w:szCs w:val="22"/>
        </w:rPr>
        <w:t xml:space="preserve">•  Cross-reference: Secondary documents contribute reported NOI subtotals for validation against the primary source.</w:t>
      </w:r>
    </w:p>
    <w:p>
      <w:pPr>
        <w:pStyle w:val="Heading2"/>
        <w:spacing w:after="120" w:before="240"/>
      </w:pPr>
      <w:r>
        <w:rPr>
          <w:rFonts w:ascii="Arial" w:cs="Arial" w:eastAsia="Arial" w:hAnsi="Arial"/>
        </w:rPr>
        <w:t xml:space="preserve">Period Quality Scoring</w:t>
      </w:r>
    </w:p>
    <w:p>
      <w:pPr>
        <w:spacing w:after="120"/>
      </w:pPr>
      <w:r>
        <w:rPr>
          <w:rFonts w:ascii="Arial" w:cs="Arial" w:eastAsia="Arial" w:hAnsi="Arial"/>
          <w:sz w:val="22"/>
          <w:szCs w:val="22"/>
        </w:rPr>
        <w:t xml:space="preserve">Each financial period receives a quality score (high/medium/low) based on data completeness, balance ratio, and income validity. Low-quality periods (e.g., projection stubs with $11M income but $1K expenses) are filtered from the default view, reducing noise from 24 raw periods down to 13 meaningful ones.</w:t>
      </w:r>
    </w:p>
    <w:p>
      <w:pPr>
        <w:pStyle w:val="Heading1"/>
        <w:spacing w:after="120" w:before="360"/>
      </w:pPr>
      <w:r>
        <w:rPr>
          <w:rFonts w:ascii="Arial" w:cs="Arial" w:eastAsia="Arial" w:hAnsi="Arial"/>
        </w:rPr>
        <w:t xml:space="preserve">Extraction Accuracy</w:t>
      </w:r>
    </w:p>
    <w:p>
      <w:pPr>
        <w:spacing w:after="120"/>
      </w:pPr>
      <w:r>
        <w:rPr>
          <w:rFonts w:ascii="Arial" w:cs="Arial" w:eastAsia="Arial" w:hAnsi="Arial"/>
          <w:sz w:val="22"/>
          <w:szCs w:val="22"/>
        </w:rPr>
        <w:t xml:space="preserve">Validated against partner-provided Chamberlain property data. The table below shows current extraction accuracy for key financial periods: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900"/>
        <w:gridCol w:w="3660"/>
      </w:tblGrid>
      <w:tr>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Validated</w:t>
            </w:r>
          </w:p>
        </w:tc>
        <w:tc>
          <w:tcPr>
            <w:tcW w:type="dxa" w:w="1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Extracted</w:t>
            </w:r>
          </w:p>
        </w:tc>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Variance</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2023A Income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$6,538,012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$5,693,086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-12.9%</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TIF accounting scope (not extraction error)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2023A Expenses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$2,998,665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$2,948,927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7AE60"/>
                <w:sz w:val="20"/>
                <w:szCs w:val="20"/>
              </w:rPr>
              <w:t xml:space="preserve">-1.7%</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Within tolerance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2024A Income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$7,096,547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$6,826,519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7AE60"/>
                <w:sz w:val="20"/>
                <w:szCs w:val="20"/>
              </w:rPr>
              <w:t xml:space="preserve">-3.8%</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Good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2024A Expenses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$2,863,093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$2,628,041</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E74C3C"/>
                <w:sz w:val="20"/>
                <w:szCs w:val="20"/>
              </w:rPr>
              <w:t xml:space="preserve">-8.2%</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Improved from -30.1%</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2025A Expenses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$2,863,093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$2,820,445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7AE60"/>
                <w:sz w:val="20"/>
                <w:szCs w:val="20"/>
              </w:rPr>
              <w:t xml:space="preserve">-1.5%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Fixed from -100% (was $0)</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2026B NOI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$4,474,627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right"/>
            </w:pPr>
            <w:r>
              <w:rPr>
                <w:rFonts w:ascii="Arial" w:cs="Arial" w:eastAsia="Arial" w:hAnsi="Arial"/>
                <w:color w:val="000000"/>
                <w:sz w:val="20"/>
                <w:szCs w:val="20"/>
              </w:rPr>
              <w:t xml:space="preserve">$4,367,965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27AE60"/>
                <w:sz w:val="20"/>
                <w:szCs w:val="20"/>
              </w:rPr>
              <w:t xml:space="preserve">-2.4%</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Budget period, strong match</w:t>
            </w:r>
          </w:p>
        </w:tc>
      </w:tr>
    </w:tbl>
    <w:p>
      <w:pPr>
        <w:spacing w:before="120"/>
      </w:pPr>
    </w:p>
    <w:p>
      <w:pPr>
        <w:spacing w:after="120"/>
      </w:pPr>
      <w:r>
        <w:rPr>
          <w:rFonts w:ascii="Arial" w:cs="Arial" w:eastAsia="Arial" w:hAnsi="Arial"/>
          <w:sz w:val="22"/>
          <w:szCs w:val="22"/>
        </w:rPr>
        <w:t xml:space="preserve">The 2023A income gap (-12.9%) is due to TIF Revenue (~$838K) being included in the Property Overview but excluded from the Budget Overview. This is an accounting scope difference, not an extraction error. The 2025A expense extraction was fixed from -100% ($0) to -1.5% via a subtotal fallback mechanism.</w:t>
      </w:r>
    </w:p>
    <w:p>
      <w:r>
        <w:br w:type="page"/>
      </w:r>
    </w:p>
    <w:p>
      <w:pPr>
        <w:pStyle w:val="Heading1"/>
        <w:spacing w:after="120" w:before="360"/>
      </w:pPr>
      <w:r>
        <w:rPr>
          <w:rFonts w:ascii="Arial" w:cs="Arial" w:eastAsia="Arial" w:hAnsi="Arial"/>
        </w:rPr>
        <w:t xml:space="preserve">Scale Optimizations for Thursday</w:t>
      </w:r>
    </w:p>
    <w:p>
      <w:pPr>
        <w:pStyle w:val="Heading2"/>
        <w:spacing w:after="120" w:before="240"/>
      </w:pPr>
      <w:r>
        <w:rPr>
          <w:rFonts w:ascii="Arial" w:cs="Arial" w:eastAsia="Arial" w:hAnsi="Arial"/>
        </w:rPr>
        <w:t xml:space="preserve">Parallel Ingestion</w:t>
      </w:r>
    </w:p>
    <w:p>
      <w:pPr>
        <w:spacing w:after="120"/>
      </w:pPr>
      <w:r>
        <w:rPr>
          <w:rFonts w:ascii="Arial" w:cs="Arial" w:eastAsia="Arial" w:hAnsi="Arial"/>
          <w:sz w:val="22"/>
          <w:szCs w:val="22"/>
        </w:rPr>
        <w:t xml:space="preserve">Document ingestion now runs in parallel with configurable worker pools. Default configuration: 2 concurrent job workers and 4 parallel document processors per batch. A 40-document batch that previously took ~15 minutes serially should now complete in ~4 minutes. Each document gets its own database connection for thread safety.</w:t>
      </w:r>
    </w:p>
    <w:p>
      <w:pPr>
        <w:pStyle w:val="Heading2"/>
        <w:spacing w:after="120" w:before="240"/>
      </w:pPr>
      <w:r>
        <w:rPr>
          <w:rFonts w:ascii="Arial" w:cs="Arial" w:eastAsia="Arial" w:hAnsi="Arial"/>
        </w:rPr>
        <w:t xml:space="preserve">Multi-Property Workflow</w:t>
      </w:r>
    </w:p>
    <w:p>
      <w:pPr>
        <w:spacing w:after="60"/>
        <w:ind w:left="360" w:hanging="180"/>
      </w:pPr>
      <w:r>
        <w:rPr>
          <w:rFonts w:ascii="Arial" w:cs="Arial" w:eastAsia="Arial" w:hAnsi="Arial"/>
          <w:sz w:val="22"/>
          <w:szCs w:val="22"/>
        </w:rPr>
        <w:t xml:space="preserve">•  Auto-create property: Uploading documents with a property name that doesn’t match any existing property automatically creates it.</w:t>
      </w:r>
    </w:p>
    <w:p>
      <w:pPr>
        <w:spacing w:after="60"/>
        <w:ind w:left="360" w:hanging="180"/>
      </w:pPr>
      <w:r>
        <w:rPr>
          <w:rFonts w:ascii="Arial" w:cs="Arial" w:eastAsia="Arial" w:hAnsi="Arial"/>
          <w:sz w:val="22"/>
          <w:szCs w:val="22"/>
        </w:rPr>
        <w:t xml:space="preserve">•  Fuzzy name matching: Property linking uses substring/containment matching at insert time (not just the review queue), so “The Chamberlain Building” correctly matches “Chamberlain.”</w:t>
      </w:r>
    </w:p>
    <w:p>
      <w:pPr>
        <w:spacing w:after="60"/>
        <w:ind w:left="360" w:hanging="180"/>
      </w:pPr>
      <w:r>
        <w:rPr>
          <w:rFonts w:ascii="Arial" w:cs="Arial" w:eastAsia="Arial" w:hAnsi="Arial"/>
          <w:sz w:val="22"/>
          <w:szCs w:val="22"/>
        </w:rPr>
        <w:t xml:space="preserve">•  Bulk property creation: New UI on the Properties page supports creating multiple properties via a line-separated list or CSV upload (columns: name, type, address, city, state, zip, units). Duplicates are automatically detected and skipped.</w:t>
      </w:r>
    </w:p>
    <w:p>
      <w:pPr>
        <w:pStyle w:val="Heading2"/>
        <w:spacing w:after="120" w:before="240"/>
      </w:pPr>
      <w:r>
        <w:rPr>
          <w:rFonts w:ascii="Arial" w:cs="Arial" w:eastAsia="Arial" w:hAnsi="Arial"/>
        </w:rPr>
        <w:t xml:space="preserve">Multi-Tenant Hardening</w:t>
      </w:r>
    </w:p>
    <w:p>
      <w:pPr>
        <w:spacing w:after="60"/>
        <w:ind w:left="360" w:hanging="180"/>
      </w:pPr>
      <w:r>
        <w:rPr>
          <w:rFonts w:ascii="Arial" w:cs="Arial" w:eastAsia="Arial" w:hAnsi="Arial"/>
          <w:sz w:val="22"/>
          <w:szCs w:val="22"/>
        </w:rPr>
        <w:t xml:space="preserve">•  Per-org database isolation: Each organization gets its own SQLite database with WAL mode, 10-second busy timeout, 64MB page cache, and NORMAL synchronous mode for optimal concurrent performance.</w:t>
      </w:r>
    </w:p>
    <w:p>
      <w:pPr>
        <w:spacing w:after="60"/>
        <w:ind w:left="360" w:hanging="180"/>
      </w:pPr>
      <w:r>
        <w:rPr>
          <w:rFonts w:ascii="Arial" w:cs="Arial" w:eastAsia="Arial" w:hAnsi="Arial"/>
          <w:sz w:val="22"/>
          <w:szCs w:val="22"/>
        </w:rPr>
        <w:t xml:space="preserve">•  Org-scoped job state: Background processing jobs are now scoped by organization. Users can only see their own org’s jobs, preventing cross-org data leakage.</w:t>
      </w:r>
    </w:p>
    <w:p>
      <w:pPr>
        <w:spacing w:after="60"/>
        <w:ind w:left="360" w:hanging="180"/>
      </w:pPr>
      <w:r>
        <w:rPr>
          <w:rFonts w:ascii="Arial" w:cs="Arial" w:eastAsia="Arial" w:hAnsi="Arial"/>
          <w:sz w:val="22"/>
          <w:szCs w:val="22"/>
        </w:rPr>
        <w:t xml:space="preserve">•  Rate limiting: Upload and batch endpoints enforce 30 requests per minute per organization (configurable via CAPACTIVE_RATE_LIMIT environment variable).</w:t>
      </w:r>
    </w:p>
    <w:p>
      <w:pPr>
        <w:spacing w:after="60"/>
        <w:ind w:left="360" w:hanging="180"/>
      </w:pPr>
      <w:r>
        <w:rPr>
          <w:rFonts w:ascii="Arial" w:cs="Arial" w:eastAsia="Arial" w:hAnsi="Arial"/>
          <w:sz w:val="22"/>
          <w:szCs w:val="22"/>
        </w:rPr>
        <w:t xml:space="preserve">•  Job expiry: Completed jobs are automatically cleaned up after 24 hours to prevent memory leaks.</w:t>
      </w:r>
    </w:p>
    <w:p>
      <w:pPr>
        <w:pStyle w:val="Heading2"/>
        <w:spacing w:after="120" w:before="240"/>
      </w:pPr>
      <w:r>
        <w:rPr>
          <w:rFonts w:ascii="Arial" w:cs="Arial" w:eastAsia="Arial" w:hAnsi="Arial"/>
        </w:rPr>
        <w:t xml:space="preserve">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400"/>
        <w:gridCol w:w="4160"/>
      </w:tblGrid>
      <w:tr>
        <w:tc>
          <w:tcPr>
            <w:tcW w:type="dxa" w:w="3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CAPACTIVE_JOB_WORKERS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Concurrent job processing threads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CAPACTIVE_DOC_WORKERS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Parallel document processors per batch</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CAPACTIVE_RATE_LIMIT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Max requests per minute per org</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CAPACTIVE_JOB_EXPIRY_HOURS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Hours before completed jobs are cleaned up</w:t>
            </w:r>
          </w:p>
        </w:tc>
      </w:tr>
    </w:tbl>
    <w:p>
      <w:pPr>
        <w:pStyle w:val="Heading1"/>
        <w:spacing w:after="120" w:before="360"/>
      </w:pPr>
      <w:r>
        <w:rPr>
          <w:rFonts w:ascii="Arial" w:cs="Arial" w:eastAsia="Arial" w:hAnsi="Arial"/>
        </w:rPr>
        <w:t xml:space="preserve">New UI Features</w:t>
      </w:r>
    </w:p>
    <w:p>
      <w:pPr>
        <w:pStyle w:val="Heading2"/>
        <w:spacing w:after="120" w:before="240"/>
      </w:pPr>
      <w:r>
        <w:rPr>
          <w:rFonts w:ascii="Arial" w:cs="Arial" w:eastAsia="Arial" w:hAnsi="Arial"/>
        </w:rPr>
        <w:t xml:space="preserve">Portfolio Financial Comparison</w:t>
      </w:r>
    </w:p>
    <w:p>
      <w:pPr>
        <w:spacing w:after="120"/>
      </w:pPr>
      <w:r>
        <w:rPr>
          <w:rFonts w:ascii="Arial" w:cs="Arial" w:eastAsia="Arial" w:hAnsi="Arial"/>
          <w:sz w:val="22"/>
          <w:szCs w:val="22"/>
        </w:rPr>
        <w:t xml:space="preserve">A cross-property financial comparison view with four tabs: NOI Timeline, Income breakdown, Expenses (with expense ratio table), and Data Sources. Includes summary stat cards, property and portfolio filtering, CSS bar charts, sticky columns, and portfolio totals in footers. Accessible from the main navigation under Assets and from portfolio cards.</w:t>
      </w:r>
    </w:p>
    <w:p>
      <w:pPr>
        <w:pStyle w:val="Heading2"/>
        <w:spacing w:after="120" w:before="240"/>
      </w:pPr>
      <w:r>
        <w:rPr>
          <w:rFonts w:ascii="Arial" w:cs="Arial" w:eastAsia="Arial" w:hAnsi="Arial"/>
        </w:rPr>
        <w:t xml:space="preserve">Extraction Review Dashboard</w:t>
      </w:r>
    </w:p>
    <w:p>
      <w:pPr>
        <w:spacing w:after="120"/>
      </w:pPr>
      <w:r>
        <w:rPr>
          <w:rFonts w:ascii="Arial" w:cs="Arial" w:eastAsia="Arial" w:hAnsi="Arial"/>
          <w:sz w:val="22"/>
          <w:szCs w:val="22"/>
        </w:rPr>
        <w:t xml:space="preserve">A batch review UI for scanning extraction results across all documents. Features include status filter tabs (All/Pending/Approved/Flagged) with counts, property dropdown filter, a data table showing per-document extraction stats (income items and total, expense items and total, rent roll entries, financial terms, clauses, GL entries), and three-status review workflow (pending/approved/flagged) with notes. Supports bulk operations (select all, approve all, flag all) and keyboard shortcuts (A=approve, F=flag). AJAX-powered for inline review without page reloads.</w:t>
      </w:r>
    </w:p>
    <w:p>
      <w:pPr>
        <w:pStyle w:val="Heading2"/>
        <w:spacing w:after="120" w:before="240"/>
      </w:pPr>
      <w:r>
        <w:rPr>
          <w:rFonts w:ascii="Arial" w:cs="Arial" w:eastAsia="Arial" w:hAnsi="Arial"/>
        </w:rPr>
        <w:t xml:space="preserve">Batch Upload Resilience</w:t>
      </w:r>
    </w:p>
    <w:p>
      <w:pPr>
        <w:spacing w:after="120"/>
      </w:pPr>
      <w:r>
        <w:rPr>
          <w:rFonts w:ascii="Arial" w:cs="Arial" w:eastAsia="Arial" w:hAnsi="Arial"/>
          <w:sz w:val="22"/>
          <w:szCs w:val="22"/>
        </w:rPr>
        <w:t xml:space="preserve">Single document failures in a batch no longer kill the entire batch. Each document is wrapped in error handling that creates a failure record and continues to the next document. The job status page shows succeeded vs. failed counts in real time. The upload limit has been increased to 500MB to support ~100 large PDFs in a single batch.</w:t>
      </w:r>
    </w:p>
    <w:p>
      <w:pPr>
        <w:pStyle w:val="Heading2"/>
        <w:spacing w:after="120" w:before="240"/>
      </w:pPr>
      <w:r>
        <w:rPr>
          <w:rFonts w:ascii="Arial" w:cs="Arial" w:eastAsia="Arial" w:hAnsi="Arial"/>
        </w:rPr>
        <w:t xml:space="preserve">Property Dashboard Enhancements</w:t>
      </w:r>
    </w:p>
    <w:p>
      <w:pPr>
        <w:spacing w:after="60"/>
        <w:ind w:left="360" w:hanging="180"/>
      </w:pPr>
      <w:r>
        <w:rPr>
          <w:rFonts w:ascii="Arial" w:cs="Arial" w:eastAsia="Arial" w:hAnsi="Arial"/>
          <w:sz w:val="22"/>
          <w:szCs w:val="22"/>
        </w:rPr>
        <w:t xml:space="preserve">•  NOI timeline now shows quality-filtered periods by default with a toggle to reveal hidden low-quality periods.</w:t>
      </w:r>
    </w:p>
    <w:p>
      <w:pPr>
        <w:spacing w:after="60"/>
        <w:ind w:left="360" w:hanging="180"/>
      </w:pPr>
      <w:r>
        <w:rPr>
          <w:rFonts w:ascii="Arial" w:cs="Arial" w:eastAsia="Arial" w:hAnsi="Arial"/>
          <w:sz w:val="22"/>
          <w:szCs w:val="22"/>
        </w:rPr>
        <w:t xml:space="preserve">•  Source PDF download links throughout the UI for quick verification against originals.</w:t>
      </w:r>
    </w:p>
    <w:p>
      <w:pPr>
        <w:spacing w:after="60"/>
        <w:ind w:left="360" w:hanging="180"/>
      </w:pPr>
      <w:r>
        <w:rPr>
          <w:rFonts w:ascii="Arial" w:cs="Arial" w:eastAsia="Arial" w:hAnsi="Arial"/>
          <w:sz w:val="22"/>
          <w:szCs w:val="22"/>
        </w:rPr>
        <w:t xml:space="preserve">•  Re-extract button on document detail pages for reprocessing individual documents.</w:t>
      </w:r>
    </w:p>
    <w:p>
      <w:r>
        <w:br w:type="page"/>
      </w:r>
    </w:p>
    <w:p>
      <w:pPr>
        <w:pStyle w:val="Heading1"/>
        <w:spacing w:after="120" w:before="360"/>
      </w:pPr>
      <w:r>
        <w:rPr>
          <w:rFonts w:ascii="Arial" w:cs="Arial" w:eastAsia="Arial" w:hAnsi="Arial"/>
        </w:rPr>
        <w:t xml:space="preserve">Thursday Load-In Checklist</w:t>
      </w:r>
    </w:p>
    <w:p>
      <w:pPr>
        <w:spacing w:after="120"/>
      </w:pPr>
      <w:r>
        <w:rPr>
          <w:rFonts w:ascii="Arial" w:cs="Arial" w:eastAsia="Arial" w:hAnsi="Arial"/>
          <w:sz w:val="22"/>
          <w:szCs w:val="22"/>
        </w:rPr>
        <w:t xml:space="preserve">Steps to prepare for bulk property onboarding:</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c>
          <w:tcPr>
            <w:tcW w:type="dxa" w:w="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7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Create properties via bulk upload (CSV or line list)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Properties page &gt; Bulk Add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2</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Upload document packages per property (ZIP or folder)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Batch Upload page, set property name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Monitor ingestion progress on job status page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 min per 40-doc batch</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Run Phase 2 analysis per property (requires Ollama)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Property page &gt; Analyze button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5</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Review extraction quality in Extraction Review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Approve/flag documents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6</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Check financial synthesis on property dashboards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NOI timeline, period quality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000000"/>
                <w:sz w:val="20"/>
                <w:szCs w:val="20"/>
              </w:rPr>
              <w:t xml:space="preserve">7</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Compare properties in Portfolio Comparison view</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Assets &gt; Comparison</w:t>
            </w:r>
          </w:p>
        </w:tc>
      </w:tr>
    </w:tbl>
    <w:p>
      <w:pPr>
        <w:spacing w:before="240"/>
      </w:pPr>
    </w:p>
    <w:p>
      <w:pPr>
        <w:pStyle w:val="Heading3"/>
        <w:spacing w:after="120" w:before="240"/>
      </w:pPr>
      <w:r>
        <w:rPr>
          <w:rFonts w:ascii="Arial" w:cs="Arial" w:eastAsia="Arial" w:hAnsi="Arial"/>
        </w:rPr>
        <w:t xml:space="preserve">Startup Command</w:t>
      </w:r>
    </w:p>
    <w:p>
      <w:pPr>
        <w:shd w:fill="F5F5F5" w:val="clear"/>
        <w:spacing w:after="120"/>
      </w:pPr>
      <w:r>
        <w:rPr>
          <w:rFonts w:ascii="Courier New" w:cs="Courier New" w:eastAsia="Courier New" w:hAnsi="Courier New"/>
          <w:sz w:val="22"/>
          <w:szCs w:val="22"/>
        </w:rPr>
        <w:t xml:space="preserve">  CAPACTIVE_DEV_MODE=1 python3 run.py --port 8080</w:t>
      </w:r>
    </w:p>
    <w:p>
      <w:pPr>
        <w:spacing w:after="120"/>
      </w:pPr>
      <w:r>
        <w:rPr>
          <w:rFonts w:ascii="Arial" w:cs="Arial" w:eastAsia="Arial" w:hAnsi="Arial"/>
          <w:sz w:val="22"/>
          <w:szCs w:val="22"/>
        </w:rPr>
        <w:t xml:space="preserve">Then open http://localhost:8080 in your browser. All data is stored locally in data/org_dev.db.</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Capactive Document Extractor  |  Platform Recap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C3E5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2026-05-19T04:04:09.802Z</dcterms:created>
  <dcterms:modified xsi:type="dcterms:W3CDTF">2026-05-19T04:04:09.802Z</dcterms:modified>
</cp:coreProperties>
</file>

<file path=docProps/custom.xml><?xml version="1.0" encoding="utf-8"?>
<Properties xmlns="http://schemas.openxmlformats.org/officeDocument/2006/custom-properties" xmlns:vt="http://schemas.openxmlformats.org/officeDocument/2006/docPropsVTypes"/>
</file>