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8"/>
          <w:sz w:val="36"/>
          <w:szCs w:val="36"/>
        </w:rPr>
        <w:t xml:space="preserve">ADDENDUM A</w:t>
      </w:r>
    </w:p>
    <w:p>
      <w:pPr>
        <w:spacing w:after="60" w:before="0"/>
        <w:jc w:val="center"/>
      </w:pPr>
      <w:r>
        <w:rPr>
          <w:b/>
          <w:bCs/>
          <w:color w:val="1F4E78"/>
          <w:sz w:val="28"/>
          <w:szCs w:val="28"/>
        </w:rPr>
        <w:t xml:space="preserve">Forensic Review of IDP's Tax Appeal Analysis</w:t>
      </w:r>
    </w:p>
    <w:p>
      <w:pPr>
        <w:spacing w:after="360" w:before="0"/>
        <w:jc w:val="center"/>
      </w:pPr>
      <w:r>
        <w:rPr>
          <w:i/>
          <w:iCs/>
          <w:color w:val="595959"/>
          <w:sz w:val="20"/>
          <w:szCs w:val="20"/>
        </w:rPr>
        <w:t xml:space="preserve">Cell-by-cell teardown of 'Chamberlain — Tax Appeal Analysis 2026 — Updated.xlsx'  |  May 12, 2026</w:t>
      </w:r>
    </w:p>
    <w:p>
      <w:pPr>
        <w:pBdr>
          <w:bottom w:val="single" w:color="1F4E78" w:sz="6" w:space="1"/>
        </w:pBdr>
        <w:spacing w:after="120" w:before="120"/>
      </w:pPr>
      <w:r>
        <w:t xml:space="preserve"/>
      </w:r>
    </w:p>
    <w:p>
      <w:pPr>
        <w:pStyle w:val="Heading1"/>
      </w:pPr>
      <w:r>
        <w:t xml:space="preserve">Purpose &amp; Scope</w:t>
      </w:r>
    </w:p>
    <w:p>
      <w:pPr>
        <w:spacing w:after="120" w:before="0"/>
      </w:pPr>
      <w:r>
        <w:rPr>
          <w:b w:val="false"/>
          <w:bCs w:val="false"/>
          <w:i w:val="false"/>
          <w:iCs w:val="false"/>
        </w:rPr>
        <w:t xml:space="preserve">This addendum is a detailed technical review of the IDP-prepared Excel analysis circulated April 17, 2026 ('Chamberlain — Tax Appeal Analysis 2026 — Updated.xlsx'). We have identified 15 specific issues in that workbook. This document catalogues each issue with: (a) the offending cell coordinates, (b) the exact formula or value as written, (c) what the formula or value should have been, and (d) the dollar impact of the error.</w:t>
      </w:r>
    </w:p>
    <w:p>
      <w:pPr>
        <w:spacing w:after="80" w:before="0"/>
      </w:pPr>
      <w:r>
        <w:rPr>
          <w:b w:val="false"/>
          <w:bCs w:val="false"/>
          <w:i w:val="false"/>
          <w:iCs w:val="false"/>
        </w:rPr>
        <w:t xml:space="preserve">The issues fall into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060"/>
        <w:gridCol w:w="800"/>
      </w:tblGrid>
      <w:tr>
        <w:tc>
          <w:tcPr>
            <w:tcW w:type="dxa" w:w="13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Tier</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Category</w:t>
            </w:r>
          </w:p>
        </w:tc>
        <w:tc>
          <w:tcPr>
            <w:tcW w:type="dxa" w:w="50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Definition</w:t>
            </w:r>
          </w:p>
        </w:tc>
        <w:tc>
          <w:tcPr>
            <w:tcW w:type="dxa" w:w="8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Count</w:t>
            </w:r>
          </w:p>
        </w:tc>
      </w:tr>
      <w:tr>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20"/>
                <w:szCs w:val="20"/>
              </w:rPr>
              <w:t xml:space="preserve">TIER 1</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Material Error</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Each individually sufficient to flip the conclusion of the analysis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20"/>
                <w:szCs w:val="20"/>
              </w:rPr>
              <w:t xml:space="preserve">6</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20"/>
                <w:szCs w:val="20"/>
              </w:rPr>
              <w:t xml:space="preserve">TIER 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20"/>
                <w:szCs w:val="20"/>
              </w:rPr>
              <w:t xml:space="preserve">Methodological Error</w:t>
            </w:r>
          </w:p>
        </w:tc>
        <w:tc>
          <w:tcPr>
            <w:tcW w:type="dxa" w:w="5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20"/>
                <w:szCs w:val="20"/>
              </w:rPr>
              <w:t xml:space="preserve">Choices that systematically bias the analysis but don't individually flip the conclusion</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20"/>
                <w:szCs w:val="20"/>
              </w:rPr>
              <w:t xml:space="preserve">5</w:t>
            </w:r>
          </w:p>
        </w:tc>
      </w:tr>
      <w:tr>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20"/>
                <w:szCs w:val="20"/>
              </w:rPr>
              <w:t xml:space="preserve">TIER 3</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Formula Bug</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Mechanical errors in specific cells — small individual dollar impact but indicative of the analysis not being audited</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20"/>
                <w:szCs w:val="20"/>
              </w:rPr>
              <w:t xml:space="preserve">4</w:t>
            </w:r>
          </w:p>
        </w:tc>
      </w:tr>
    </w:tbl>
    <w:p>
      <w:pPr>
        <w:spacing w:after="120" w:before="0"/>
      </w:pPr>
      <w:r>
        <w:rPr>
          <w:b w:val="false"/>
          <w:bCs w:val="false"/>
          <w:i w:val="false"/>
          <w:iCs w:val="false"/>
        </w:rPr>
        <w:t xml:space="preserve"/>
      </w:r>
    </w:p>
    <w:p>
      <w:pPr>
        <w:pBdr>
          <w:top w:val="single" w:color="C00000" w:sz="6" w:space="8"/>
          <w:bottom w:val="single" w:color="C00000" w:sz="6" w:space="8"/>
          <w:left w:val="single" w:color="C00000" w:sz="6" w:space="8"/>
          <w:right w:val="single" w:color="C00000" w:sz="6" w:space="8"/>
        </w:pBdr>
        <w:shd w:fill="FFF2CC" w:val="clear"/>
        <w:spacing w:after="120" w:before="120"/>
        <w:ind w:left="120" w:right="120"/>
      </w:pPr>
      <w:r>
        <w:rPr>
          <w:b w:val="false"/>
          <w:bCs w:val="false"/>
          <w:i/>
          <w:iCs/>
          <w:sz w:val="20"/>
          <w:szCs w:val="20"/>
        </w:rPr>
        <w:t xml:space="preserve">Important note on the pattern: All 15 identified issues bias the analysis in the same direction — against appealing. An honest analytical model produces errors that scatter randomly across favorable and unfavorable outcomes. An analysis with this many one-sided errors invites further inquiry into the methodology and assumptions used.</w:t>
      </w:r>
    </w:p>
    <w:p>
      <w:r>
        <w:br w:type="page"/>
      </w:r>
    </w:p>
    <w:p>
      <w:pPr>
        <w:pStyle w:val="Heading1"/>
      </w:pPr>
      <w:r>
        <w:t xml:space="preserve">Tier 1: Material Errors (each flips the conclusion)</w:t>
      </w:r>
    </w:p>
    <w:p>
      <w:pPr>
        <w:spacing w:after="80" w:before="240"/>
      </w:pPr>
      <w:r>
        <w:rPr>
          <w:b/>
          <w:bCs/>
          <w:color w:val="1F4E78"/>
          <w:sz w:val="24"/>
          <w:szCs w:val="24"/>
        </w:rPr>
        <w:t>Error #1: Time Horizon Truncated to 10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C7CE" w:val="clear"/>
            <w:tcMar>
              <w:top w:type="dxa" w:w="40"/>
              <w:left w:type="dxa" w:w="120"/>
              <w:bottom w:type="dxa" w:w="40"/>
              <w:right w:type="dxa" w:w="120"/>
            </w:tcMar>
          </w:tcPr>
          <w:p>
            <w:pPr>
              <w:jc w:val="center"/>
            </w:pPr>
            <w:r>
              <w:rPr>
                <w:b/>
                <w:bCs/>
                <w:color w:val="C00000"/>
                <w:sz w:val="20"/>
                <w:szCs w:val="20"/>
              </w:rPr>
              <w:t xml:space="preserve">TIER 1 — Material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Omits ~$207K nominal / $62K NPV of post-2035 value from each scenario</w:t>
            </w:r>
          </w:p>
        </w:tc>
      </w:tr>
    </w:tbl>
    <w:p>
      <w:pPr>
        <w:spacing w:after="120" w:before="0"/>
      </w:pPr>
      <w:r>
        <w:rPr>
          <w:b w:val="false"/>
          <w:bCs w:val="false"/>
          <w:i w:val="false"/>
          <w:iCs w:val="false"/>
        </w:rPr>
        <w:t xml:space="preserve">The IDP analysis covers 2026-2035 (10 years), per the title row of every tab. However, the TIF District generates increment through 2045 (last increment year, per TIF Plan §2-7), and the TIF Note remains outstanding through 2039 (baseline) or 2042+ (under appeal). Truncating at year 10 omits years 11-19 of the TIF benefit and years 11-20 of post-Note-payoff property tax differential.</w:t>
      </w:r>
    </w:p>
    <w:p>
      <w:pPr>
        <w:spacing w:after="40" w:before="0"/>
      </w:pPr>
      <w:r>
        <w:rPr>
          <w:b/>
          <w:bCs/>
          <w:i w:val="false"/>
          <w:iCs w:val="false"/>
          <w:sz w:val="20"/>
          <w:szCs w:val="20"/>
        </w:rPr>
        <w:t xml:space="preserve">Source — title row across all tabs:</w:t>
      </w:r>
    </w:p>
    <w:p>
      <w:pPr>
        <w:spacing w:after="40" w:before="80"/>
      </w:pPr>
      <w:r>
        <w:rPr>
          <w:rFonts w:ascii="Arial" w:cs="Arial" w:eastAsia="Arial" w:hAnsi="Arial"/>
          <w:b/>
          <w:bCs/>
          <w:sz w:val="18"/>
          <w:szCs w:val="18"/>
        </w:rPr>
        <w:t xml:space="preserve">Cells confirming 10-year truncation</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Inputs!A1 = 'Chamberlain TIF Economic Analysis (2026–2036 Hold)'</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Inputs!A16 = 'Years (Hold Period)'</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Inputs!B16 = 10</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Investor_Summary!A2 = 'Investor Decision Summary (2026–2036 Hold)'</w:t>
      </w:r>
    </w:p>
    <w:p>
      <w:pPr>
        <w:spacing w:after="200" w:before="0"/>
      </w:pPr>
      <w:r>
        <w:rPr>
          <w:b w:val="false"/>
          <w:bCs w:val="false"/>
          <w:i w:val="false"/>
          <w:iCs w:val="false"/>
        </w:rPr>
        <w:t xml:space="preserve">Why this matters: The largest portion of an appeal's economic benefit accrues AFTER the TIF Note pays off, when property tax savings flow directly to the LLC with no offsetting TIF reduction. By cutting off the analysis at year 10 (2035), the model omits 2036-2045 — which is precisely when most of the value materializes.</w:t>
      </w:r>
    </w:p>
    <w:p>
      <w:pPr>
        <w:spacing w:after="80" w:before="240"/>
      </w:pPr>
      <w:r>
        <w:rPr>
          <w:b/>
          <w:bCs/>
          <w:color w:val="1F4E78"/>
          <w:sz w:val="24"/>
          <w:szCs w:val="24"/>
        </w:rPr>
        <w:t>Error #2: Attorney Fee Applied to Every Year's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C7CE" w:val="clear"/>
            <w:tcMar>
              <w:top w:type="dxa" w:w="40"/>
              <w:left w:type="dxa" w:w="120"/>
              <w:bottom w:type="dxa" w:w="40"/>
              <w:right w:type="dxa" w:w="120"/>
            </w:tcMar>
          </w:tcPr>
          <w:p>
            <w:pPr>
              <w:jc w:val="center"/>
            </w:pPr>
            <w:r>
              <w:rPr>
                <w:b/>
                <w:bCs/>
                <w:color w:val="C00000"/>
                <w:sz w:val="20"/>
                <w:szCs w:val="20"/>
              </w:rPr>
              <w:t xml:space="preserve">TIER 1 — Material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Overstates fees by ~$300-400K NPV; turns a $1M+ NPV benefit into a 'break-even'</w:t>
            </w:r>
          </w:p>
        </w:tc>
      </w:tr>
    </w:tbl>
    <w:p>
      <w:pPr>
        <w:spacing w:after="120" w:before="0"/>
      </w:pPr>
      <w:r>
        <w:rPr>
          <w:b w:val="false"/>
          <w:bCs w:val="false"/>
          <w:i w:val="false"/>
          <w:iCs w:val="false"/>
        </w:rPr>
        <w:t xml:space="preserve">Minnesota property tax appeals are typically handled on a contingency basis: 25% of one year's tax savings, paid once at petition settlement. IDP's model applies the 25% fee to EVERY year's tax savings — 10 separate fee payments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Cash Savings!C4 through C13</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Standard MN contingency</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C4: =B4 * Inputs!$B$12</w:t>
            </w:r>
          </w:p>
          <w:p>
            <w:pPr>
              <w:spacing w:after="0" w:before="0"/>
            </w:pPr>
            <w:r>
              <w:rPr>
                <w:rFonts w:ascii="Consolas" w:cs="Consolas" w:eastAsia="Consolas" w:hAnsi="Consolas"/>
                <w:sz w:val="16"/>
                <w:szCs w:val="16"/>
              </w:rPr>
              <w:t xml:space="preserve">C5: =B5 * Inputs!$B$12</w:t>
            </w:r>
          </w:p>
          <w:p>
            <w:pPr>
              <w:spacing w:after="0" w:before="0"/>
            </w:pPr>
            <w:r>
              <w:rPr>
                <w:rFonts w:ascii="Consolas" w:cs="Consolas" w:eastAsia="Consolas" w:hAnsi="Consolas"/>
                <w:sz w:val="16"/>
                <w:szCs w:val="16"/>
              </w:rPr>
              <w:t xml:space="preserve">C6: =B6 * Inputs!$B$12</w:t>
            </w:r>
          </w:p>
          <w:p>
            <w:pPr>
              <w:spacing w:after="0" w:before="0"/>
            </w:pPr>
            <w:r>
              <w:rPr>
                <w:rFonts w:ascii="Consolas" w:cs="Consolas" w:eastAsia="Consolas" w:hAnsi="Consolas"/>
                <w:sz w:val="16"/>
                <w:szCs w:val="16"/>
              </w:rPr>
              <w:t xml:space="preserve">...repeated for 10 years...</w:t>
            </w:r>
          </w:p>
          <w:p>
            <w:pPr>
              <w:spacing w:after="0" w:before="0"/>
            </w:pPr>
            <w:r>
              <w:rPr>
                <w:rFonts w:ascii="Consolas" w:cs="Consolas" w:eastAsia="Consolas" w:hAnsi="Consolas"/>
                <w:sz w:val="16"/>
                <w:szCs w:val="16"/>
              </w:rPr>
              <w:t xml:space="preserve">C13: =B13 * Inputs!$B$12</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Result: 10 separate 25% applications</w:t>
            </w:r>
          </w:p>
          <w:p>
            <w:pPr>
              <w:spacing w:after="0" w:before="0"/>
            </w:pPr>
            <w:r>
              <w:rPr>
                <w:rFonts w:ascii="Consolas" w:cs="Consolas" w:eastAsia="Consolas" w:hAnsi="Consolas"/>
                <w:sz w:val="16"/>
                <w:szCs w:val="16"/>
              </w:rPr>
              <w:t xml:space="preserve">= ~250% of one year's savings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Fee applies ONCE at year of</w:t>
            </w:r>
          </w:p>
          <w:p>
            <w:pPr>
              <w:spacing w:after="0" w:before="0"/>
            </w:pPr>
            <w:r>
              <w:rPr>
                <w:rFonts w:ascii="Consolas" w:cs="Consolas" w:eastAsia="Consolas" w:hAnsi="Consolas"/>
                <w:sz w:val="16"/>
                <w:szCs w:val="16"/>
              </w:rPr>
              <w:t xml:space="preserve">settlement, against one year's</w:t>
            </w:r>
          </w:p>
          <w:p>
            <w:pPr>
              <w:spacing w:after="0" w:before="0"/>
            </w:pPr>
            <w:r>
              <w:rPr>
                <w:rFonts w:ascii="Consolas" w:cs="Consolas" w:eastAsia="Consolas" w:hAnsi="Consolas"/>
                <w:sz w:val="16"/>
                <w:szCs w:val="16"/>
              </w:rPr>
              <w:t xml:space="preserve">tax savings.</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Annual fee in subsequent years</w:t>
            </w:r>
          </w:p>
          <w:p>
            <w:pPr>
              <w:spacing w:after="0" w:before="0"/>
            </w:pPr>
            <w:r>
              <w:rPr>
                <w:rFonts w:ascii="Consolas" w:cs="Consolas" w:eastAsia="Consolas" w:hAnsi="Consolas"/>
                <w:sz w:val="16"/>
                <w:szCs w:val="16"/>
              </w:rPr>
              <w:t xml:space="preserve">= $0</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Total fee = 25% × yr1 savings</w:t>
            </w:r>
          </w:p>
        </w:tc>
      </w:tr>
    </w:tbl>
    <w:p>
      <w:pPr>
        <w:spacing w:after="120" w:before="0"/>
      </w:pPr>
      <w:r>
        <w:rPr>
          <w:b w:val="false"/>
          <w:bCs w:val="false"/>
          <w:i w:val="false"/>
          <w:iCs w:val="false"/>
        </w:rPr>
        <w:t xml:space="preserve"/>
      </w:r>
    </w:p>
    <w:p>
      <w:pPr>
        <w:spacing w:after="200" w:before="0"/>
      </w:pPr>
      <w:r>
        <w:rPr>
          <w:b w:val="false"/>
          <w:bCs w:val="false"/>
          <w:i w:val="false"/>
          <w:iCs w:val="false"/>
        </w:rPr>
        <w:t xml:space="preserve">Investor_Summary!B12 explicitly states the total fees as $373,694 over the 10-year horizon — confirming that the per-year application is intentional, not a stray reference. This represents 10x the cost of a standard contingency arrangement.</w:t>
      </w:r>
    </w:p>
    <w:p>
      <w:pPr>
        <w:spacing w:after="80" w:before="240"/>
      </w:pPr>
      <w:r>
        <w:rPr>
          <w:b/>
          <w:bCs/>
          <w:color w:val="1F4E78"/>
          <w:sz w:val="24"/>
          <w:szCs w:val="24"/>
        </w:rPr>
        <w:t>Error #3: 8% Discount Rate for a Stabilized Multifamily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C7CE" w:val="clear"/>
            <w:tcMar>
              <w:top w:type="dxa" w:w="40"/>
              <w:left w:type="dxa" w:w="120"/>
              <w:bottom w:type="dxa" w:w="40"/>
              <w:right w:type="dxa" w:w="120"/>
            </w:tcMar>
          </w:tcPr>
          <w:p>
            <w:pPr>
              <w:jc w:val="center"/>
            </w:pPr>
            <w:r>
              <w:rPr>
                <w:b/>
                <w:bCs/>
                <w:color w:val="C00000"/>
                <w:sz w:val="20"/>
                <w:szCs w:val="20"/>
              </w:rPr>
              <w:t xml:space="preserve">TIER 1 — Material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Selecting a 5-6% rate (institutional standard for stabilized housing) adds $1M+ NPV</w:t>
            </w:r>
          </w:p>
        </w:tc>
      </w:tr>
    </w:tbl>
    <w:p>
      <w:pPr>
        <w:spacing w:after="120" w:before="0"/>
      </w:pPr>
      <w:r>
        <w:rPr>
          <w:b w:val="false"/>
          <w:bCs w:val="false"/>
          <w:i w:val="false"/>
          <w:iCs w:val="false"/>
        </w:rPr>
        <w:t xml:space="preserve">IDP's analysis uses an 8% discount rate (Inputs!B14 = 0.08). For a stabilized multifamily asset with TIF support, this rate is well above market for institutional ownership. CBRE, RCA, and Real Capital Analytics report apartment cap rates in the Twin Cities market in the 4.5-5.5% range; even adjusting for risk and illiquidity premium, an NPV discount rate of 5-6% is more appropriate.</w:t>
      </w:r>
    </w:p>
    <w:p>
      <w:pPr>
        <w:spacing w:after="40" w:before="80"/>
      </w:pPr>
      <w:r>
        <w:rPr>
          <w:rFonts w:ascii="Arial" w:cs="Arial" w:eastAsia="Arial" w:hAnsi="Arial"/>
          <w:b/>
          <w:bCs/>
          <w:sz w:val="18"/>
          <w:szCs w:val="18"/>
        </w:rPr>
        <w:t xml:space="preserve">Discount rate input</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Inputs!A14 = 'Discount Rate'</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Inputs!B14 = 0.08      ← 800 bps premium over typical apartment cap rate</w:t>
      </w:r>
    </w:p>
    <w:p>
      <w:pPr>
        <w:spacing w:after="200" w:before="0"/>
      </w:pPr>
      <w:r>
        <w:rPr>
          <w:b w:val="false"/>
          <w:bCs w:val="false"/>
          <w:i w:val="false"/>
          <w:iCs w:val="false"/>
        </w:rPr>
        <w:t xml:space="preserve">This rate matters because cash flows in years 6-19 (the back half of the TIF life, when most appeal value accrues) get heavily discounted. A 300-bps reduction in the discount rate increases the NPV benefit by approximately $1M.</w:t>
      </w:r>
    </w:p>
    <w:p>
      <w:r>
        <w:br w:type="page"/>
      </w:r>
    </w:p>
    <w:p>
      <w:pPr>
        <w:spacing w:after="80" w:before="240"/>
      </w:pPr>
      <w:r>
        <w:rPr>
          <w:b/>
          <w:bCs/>
          <w:color w:val="1F4E78"/>
          <w:sz w:val="24"/>
          <w:szCs w:val="24"/>
        </w:rPr>
        <w:t>Error #4: Original Net Tax Capacity (ONTC) Set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C7CE" w:val="clear"/>
            <w:tcMar>
              <w:top w:type="dxa" w:w="40"/>
              <w:left w:type="dxa" w:w="120"/>
              <w:bottom w:type="dxa" w:w="40"/>
              <w:right w:type="dxa" w:w="120"/>
            </w:tcMar>
          </w:tcPr>
          <w:p>
            <w:pPr>
              <w:jc w:val="center"/>
            </w:pPr>
            <w:r>
              <w:rPr>
                <w:b/>
                <w:bCs/>
                <w:color w:val="C00000"/>
                <w:sz w:val="20"/>
                <w:szCs w:val="20"/>
              </w:rPr>
              <w:t xml:space="preserve">TIER 1 — Material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Overstates baseline TIF by ~5.7% in every year — compounds bias against appealing</w:t>
            </w:r>
          </w:p>
        </w:tc>
      </w:tr>
    </w:tbl>
    <w:p>
      <w:pPr>
        <w:spacing w:after="120" w:before="0"/>
      </w:pPr>
      <w:r>
        <w:rPr>
          <w:b w:val="false"/>
          <w:bCs w:val="false"/>
          <w:i w:val="false"/>
          <w:iCs w:val="false"/>
        </w:rPr>
        <w:t xml:space="preserve">The TIF District captures only INCREMENTAL tax capacity above the ONTC (the pre-development tax capacity established when the district was certified, per TIF Plan §2-8). IDP's TIF revenue formula does not subtract ONTC — it treats the full TMV × ClassRate as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Increment_Comparison!E3</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Correct formula</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E3: =B3 * Inputs!B10 * Inputs!B11 *</w:t>
            </w:r>
          </w:p>
          <w:p>
            <w:pPr>
              <w:spacing w:after="0" w:before="0"/>
            </w:pPr>
            <w:r>
              <w:rPr>
                <w:rFonts w:ascii="Consolas" w:cs="Consolas" w:eastAsia="Consolas" w:hAnsi="Consolas"/>
                <w:sz w:val="16"/>
                <w:szCs w:val="16"/>
              </w:rPr>
              <w:t xml:space="preserve">    Inputs!B13 * (1−Inputs!B17) *</w:t>
            </w:r>
          </w:p>
          <w:p>
            <w:pPr>
              <w:spacing w:after="0" w:before="0"/>
            </w:pPr>
            <w:r>
              <w:rPr>
                <w:rFonts w:ascii="Consolas" w:cs="Consolas" w:eastAsia="Consolas" w:hAnsi="Consolas"/>
                <w:sz w:val="16"/>
                <w:szCs w:val="16"/>
              </w:rPr>
              <w:t xml:space="preserve">    (1−Inputs!B18)</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Translation:</w:t>
            </w:r>
          </w:p>
          <w:p>
            <w:pPr>
              <w:spacing w:after="0" w:before="0"/>
            </w:pPr>
            <w:r>
              <w:rPr>
                <w:rFonts w:ascii="Consolas" w:cs="Consolas" w:eastAsia="Consolas" w:hAnsi="Consolas"/>
                <w:sz w:val="16"/>
                <w:szCs w:val="16"/>
              </w:rPr>
              <w:t xml:space="preserve">  TIF = TMV × ClassRate × TaxCap</w:t>
            </w:r>
          </w:p>
          <w:p>
            <w:pPr>
              <w:spacing w:after="0" w:before="0"/>
            </w:pPr>
            <w:r>
              <w:rPr>
                <w:rFonts w:ascii="Consolas" w:cs="Consolas" w:eastAsia="Consolas" w:hAnsi="Consolas"/>
                <w:sz w:val="16"/>
                <w:szCs w:val="16"/>
              </w:rPr>
              <w:t xml:space="preserve">        × DevShare × (1−Admin)</w:t>
            </w:r>
          </w:p>
          <w:p>
            <w:pPr>
              <w:spacing w:after="0" w:before="0"/>
            </w:pPr>
            <w:r>
              <w:rPr>
                <w:rFonts w:ascii="Consolas" w:cs="Consolas" w:eastAsia="Consolas" w:hAnsi="Consolas"/>
                <w:sz w:val="16"/>
                <w:szCs w:val="16"/>
              </w:rPr>
              <w:t xml:space="preserve">        × (1−OSA)</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NO subtraction of ONTC.</w:t>
            </w:r>
          </w:p>
          <w:p>
            <w:pPr>
              <w:spacing w:after="0" w:before="0"/>
            </w:pPr>
            <w:r>
              <w:rPr>
                <w:rFonts w:ascii="Consolas" w:cs="Consolas" w:eastAsia="Consolas" w:hAnsi="Consolas"/>
                <w:sz w:val="16"/>
                <w:szCs w:val="16"/>
              </w:rPr>
              <w:t xml:space="preserve">Result: ~$42,700 / yr OVERSTATED</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TIF = MAX(0,</w:t>
            </w:r>
          </w:p>
          <w:p>
            <w:pPr>
              <w:spacing w:after="0" w:before="0"/>
            </w:pPr>
            <w:r>
              <w:rPr>
                <w:rFonts w:ascii="Consolas" w:cs="Consolas" w:eastAsia="Consolas" w:hAnsi="Consolas"/>
                <w:sz w:val="16"/>
                <w:szCs w:val="16"/>
              </w:rPr>
              <w:t xml:space="preserve">        TMV × ClassRate − ONTC</w:t>
            </w:r>
          </w:p>
          <w:p>
            <w:pPr>
              <w:spacing w:after="0" w:before="0"/>
            </w:pPr>
            <w:r>
              <w:rPr>
                <w:rFonts w:ascii="Consolas" w:cs="Consolas" w:eastAsia="Consolas" w:hAnsi="Consolas"/>
                <w:sz w:val="16"/>
                <w:szCs w:val="16"/>
              </w:rPr>
              <w:t xml:space="preserve">      ) × TaxCap × (1−Admin)</w:t>
            </w:r>
          </w:p>
          <w:p>
            <w:pPr>
              <w:spacing w:after="0" w:before="0"/>
            </w:pPr>
            <w:r>
              <w:rPr>
                <w:rFonts w:ascii="Consolas" w:cs="Consolas" w:eastAsia="Consolas" w:hAnsi="Consolas"/>
                <w:sz w:val="16"/>
                <w:szCs w:val="16"/>
              </w:rPr>
              <w:t xml:space="preserve">       × (1−OSA)</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Where ONTC = $37,179</w:t>
            </w:r>
          </w:p>
          <w:p>
            <w:pPr>
              <w:spacing w:after="0" w:before="0"/>
            </w:pPr>
            <w:r>
              <w:rPr>
                <w:rFonts w:ascii="Consolas" w:cs="Consolas" w:eastAsia="Consolas" w:hAnsi="Consolas"/>
                <w:sz w:val="16"/>
                <w:szCs w:val="16"/>
              </w:rPr>
              <w:t xml:space="preserve">(per Ehlers reconciliation)</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Reproduces Ehlers $746,544</w:t>
            </w:r>
          </w:p>
          <w:p>
            <w:pPr>
              <w:spacing w:after="0" w:before="0"/>
            </w:pPr>
            <w:r>
              <w:rPr>
                <w:rFonts w:ascii="Consolas" w:cs="Consolas" w:eastAsia="Consolas" w:hAnsi="Consolas"/>
                <w:sz w:val="16"/>
                <w:szCs w:val="16"/>
              </w:rPr>
              <w:t xml:space="preserve">baseline TIF EXACTLY</w:t>
            </w:r>
          </w:p>
        </w:tc>
      </w:tr>
    </w:tbl>
    <w:p>
      <w:pPr>
        <w:spacing w:after="120" w:before="0"/>
      </w:pPr>
      <w:r>
        <w:rPr>
          <w:b w:val="false"/>
          <w:bCs w:val="false"/>
          <w:i w:val="false"/>
          <w:iCs w:val="false"/>
        </w:rPr>
        <w:t xml:space="preserve"/>
      </w:r>
    </w:p>
    <w:p>
      <w:pPr>
        <w:spacing w:after="200" w:before="0"/>
      </w:pPr>
      <w:r>
        <w:rPr>
          <w:b w:val="false"/>
          <w:bCs w:val="false"/>
          <w:i w:val="false"/>
          <w:iCs w:val="false"/>
        </w:rPr>
        <w:t xml:space="preserve">Cumulative impact over the Note's 14-year life: approximately $598,000 of overstated baseline TIF. This makes the 'cost' of appealing (= the TIF reduction) look larger than it actually is, and is one reason IDP's analysis arrives at a near-break-even conclusion.</w:t>
      </w:r>
    </w:p>
    <w:p>
      <w:pPr>
        <w:spacing w:after="80" w:before="240"/>
      </w:pPr>
      <w:r>
        <w:rPr>
          <w:b/>
          <w:bCs/>
          <w:color w:val="1F4E78"/>
          <w:sz w:val="24"/>
          <w:szCs w:val="24"/>
        </w:rPr>
        <w:t>Error #5: Double-Application of 'Developer Share' (Admin Holdback Counted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C7CE" w:val="clear"/>
            <w:tcMar>
              <w:top w:type="dxa" w:w="40"/>
              <w:left w:type="dxa" w:w="120"/>
              <w:bottom w:type="dxa" w:w="40"/>
              <w:right w:type="dxa" w:w="120"/>
            </w:tcMar>
          </w:tcPr>
          <w:p>
            <w:pPr>
              <w:jc w:val="center"/>
            </w:pPr>
            <w:r>
              <w:rPr>
                <w:b/>
                <w:bCs/>
                <w:color w:val="C00000"/>
                <w:sz w:val="20"/>
                <w:szCs w:val="20"/>
              </w:rPr>
              <w:t xml:space="preserve">TIER 1 — Material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Understates TIF by ~10% on top of #4; compounds the bias</w:t>
            </w:r>
          </w:p>
        </w:tc>
      </w:tr>
    </w:tbl>
    <w:p>
      <w:pPr>
        <w:spacing w:after="120" w:before="0"/>
      </w:pPr>
      <w:r>
        <w:rPr>
          <w:b w:val="false"/>
          <w:bCs w:val="false"/>
          <w:i w:val="false"/>
          <w:iCs w:val="false"/>
        </w:rPr>
        <w:t xml:space="preserve">The 90% 'Developer Share' in IDP's model represents the post-admin-holdback portion of TIF flowing to the developer. But IDP's formula applies BOTH the 90% multiplier AND a separate (1 − Admin%) reduction, effectively double-counting the 10% holdback.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Increment_Comparison!E3</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Correct mechanics</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 B3 × ClassRate × TaxCap</w:t>
            </w:r>
          </w:p>
          <w:p>
            <w:pPr>
              <w:spacing w:after="0" w:before="0"/>
            </w:pPr>
            <w:r>
              <w:rPr>
                <w:rFonts w:ascii="Consolas" w:cs="Consolas" w:eastAsia="Consolas" w:hAnsi="Consolas"/>
                <w:sz w:val="16"/>
                <w:szCs w:val="16"/>
              </w:rPr>
              <w:t xml:space="preserve">  × 0.9          ← DevShare</w:t>
            </w:r>
          </w:p>
          <w:p>
            <w:pPr>
              <w:spacing w:after="0" w:before="0"/>
            </w:pPr>
            <w:r>
              <w:rPr>
                <w:rFonts w:ascii="Consolas" w:cs="Consolas" w:eastAsia="Consolas" w:hAnsi="Consolas"/>
                <w:sz w:val="16"/>
                <w:szCs w:val="16"/>
              </w:rPr>
              <w:t xml:space="preserve">  × (1 − 0.10)   ← Admin</w:t>
            </w:r>
          </w:p>
          <w:p>
            <w:pPr>
              <w:spacing w:after="0" w:before="0"/>
            </w:pPr>
            <w:r>
              <w:rPr>
                <w:rFonts w:ascii="Consolas" w:cs="Consolas" w:eastAsia="Consolas" w:hAnsi="Consolas"/>
                <w:sz w:val="16"/>
                <w:szCs w:val="16"/>
              </w:rPr>
              <w:t xml:space="preserve">  × (1 − 0.0036) ← OSA</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Effective multiplier:</w:t>
            </w:r>
          </w:p>
          <w:p>
            <w:pPr>
              <w:spacing w:after="0" w:before="0"/>
            </w:pPr>
            <w:r>
              <w:rPr>
                <w:rFonts w:ascii="Consolas" w:cs="Consolas" w:eastAsia="Consolas" w:hAnsi="Consolas"/>
                <w:sz w:val="16"/>
                <w:szCs w:val="16"/>
              </w:rPr>
              <w:t xml:space="preserve">  0.9 × 0.9 × 0.9964 = 0.807</w:t>
            </w:r>
          </w:p>
          <w:p>
            <w:pPr>
              <w:spacing w:after="0" w:before="0"/>
            </w:pPr>
            <w:r>
              <w:rPr>
                <w:rFonts w:ascii="Consolas" w:cs="Consolas" w:eastAsia="Consolas" w:hAnsi="Consolas"/>
                <w:sz w:val="16"/>
                <w:szCs w:val="16"/>
              </w:rPr>
              <w:t xml:space="preserve">= ~80.7% of TI flowing to dev</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DevShare = (1 − Admin) = 0.90</w:t>
            </w:r>
          </w:p>
          <w:p>
            <w:pPr>
              <w:spacing w:after="0" w:before="0"/>
            </w:pPr>
            <w:r>
              <w:rPr>
                <w:rFonts w:ascii="Consolas" w:cs="Consolas" w:eastAsia="Consolas" w:hAnsi="Consolas"/>
                <w:sz w:val="16"/>
                <w:szCs w:val="16"/>
              </w:rPr>
              <w:t xml:space="preserve">(They're the SAME thing.)</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Apply as ONE multiplier:</w:t>
            </w:r>
          </w:p>
          <w:p>
            <w:pPr>
              <w:spacing w:after="0" w:before="0"/>
            </w:pPr>
            <w:r>
              <w:rPr>
                <w:rFonts w:ascii="Consolas" w:cs="Consolas" w:eastAsia="Consolas" w:hAnsi="Consolas"/>
                <w:sz w:val="16"/>
                <w:szCs w:val="16"/>
              </w:rPr>
              <w:t xml:space="preserve">  TI × 0.90 × (1 − OSA)</w:t>
            </w:r>
          </w:p>
          <w:p>
            <w:pPr>
              <w:spacing w:after="0" w:before="0"/>
            </w:pPr>
            <w:r>
              <w:rPr>
                <w:rFonts w:ascii="Consolas" w:cs="Consolas" w:eastAsia="Consolas" w:hAnsi="Consolas"/>
                <w:sz w:val="16"/>
                <w:szCs w:val="16"/>
              </w:rPr>
              <w:t xml:space="preserve">= 0.897 of TI to developer</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(Matches Ehlers' net annual</w:t>
            </w:r>
          </w:p>
          <w:p>
            <w:pPr>
              <w:spacing w:after="0" w:before="0"/>
            </w:pPr>
            <w:r>
              <w:rPr>
                <w:rFonts w:ascii="Consolas" w:cs="Consolas" w:eastAsia="Consolas" w:hAnsi="Consolas"/>
                <w:sz w:val="16"/>
                <w:szCs w:val="16"/>
              </w:rPr>
              <w:t xml:space="preserve"> TIF flow exactly.)</w:t>
            </w:r>
          </w:p>
        </w:tc>
      </w:tr>
    </w:tbl>
    <w:p>
      <w:pPr>
        <w:spacing w:after="200" w:before="0"/>
      </w:pPr>
      <w:r>
        <w:rPr>
          <w:b w:val="false"/>
          <w:bCs w:val="false"/>
          <w:i w:val="false"/>
          <w:iCs w:val="false"/>
        </w:rPr>
        <w:t xml:space="preserve"/>
      </w:r>
    </w:p>
    <w:p>
      <w:pPr>
        <w:spacing w:after="80" w:before="240"/>
      </w:pPr>
      <w:r>
        <w:rPr>
          <w:b/>
          <w:bCs/>
          <w:color w:val="1F4E78"/>
          <w:sz w:val="24"/>
          <w:szCs w:val="24"/>
        </w:rPr>
        <w:t>Error #6: Does Not Test the MAA Floor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C7CE" w:val="clear"/>
            <w:tcMar>
              <w:top w:type="dxa" w:w="40"/>
              <w:left w:type="dxa" w:w="120"/>
              <w:bottom w:type="dxa" w:w="40"/>
              <w:right w:type="dxa" w:w="120"/>
            </w:tcMar>
          </w:tcPr>
          <w:p>
            <w:pPr>
              <w:jc w:val="center"/>
            </w:pPr>
            <w:r>
              <w:rPr>
                <w:b/>
                <w:bCs/>
                <w:color w:val="C00000"/>
                <w:sz w:val="20"/>
                <w:szCs w:val="20"/>
              </w:rPr>
              <w:t xml:space="preserve">TIER 1 — Material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Largest-benefit scenario simply not modeled</w:t>
            </w:r>
          </w:p>
        </w:tc>
      </w:tr>
    </w:tbl>
    <w:p>
      <w:pPr>
        <w:spacing w:after="120" w:before="0"/>
      </w:pPr>
      <w:r>
        <w:rPr>
          <w:b w:val="false"/>
          <w:bCs w:val="false"/>
          <w:i w:val="false"/>
          <w:iCs w:val="false"/>
        </w:rPr>
        <w:t xml:space="preserve">The IDP analysis tests one appeal target: $52,150,000 (Inputs!B8). It does not model an appeal to the contractual MAA Floor of $43,835,000 — which is what Ehlers' April 2026 TIF Update specifically analyzes, and which produces the largest net benefit by a wide margin.</w:t>
      </w:r>
    </w:p>
    <w:p>
      <w:pPr>
        <w:spacing w:after="40" w:before="80"/>
      </w:pPr>
      <w:r>
        <w:rPr>
          <w:rFonts w:ascii="Arial" w:cs="Arial" w:eastAsia="Arial" w:hAnsi="Arial"/>
          <w:b/>
          <w:bCs/>
          <w:sz w:val="18"/>
          <w:szCs w:val="18"/>
        </w:rPr>
        <w:t xml:space="preserve">Appeal target vs. MAA Floor</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Inputs!A8 = 'Appeal Target Value'</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Inputs!B8 = 52150000     ← Same as county-set 2026 TMV</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 </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Inputs!A9 = 'Minimum Assessed Value (per TIF Agreement)'</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Inputs!B9 = 43835000     ← Listed but never modeled as appeal target</w:t>
      </w:r>
    </w:p>
    <w:p>
      <w:pPr>
        <w:spacing w:after="200" w:before="0"/>
      </w:pPr>
      <w:r>
        <w:rPr>
          <w:b w:val="false"/>
          <w:bCs w:val="false"/>
          <w:i w:val="false"/>
          <w:iCs w:val="false"/>
        </w:rPr>
        <w:t xml:space="preserve">The model contains a 'Rolling Pending @ Minimum' column (Increment_Comparison!G), but it is not analyzed in the Investor Summary or Cash Savings tabs. It exists as a calculation but doesn't flow through to any conclusion. Per our analysis, appealing to the MAA Floor delivers $5.5M NPV @ 5% vs. ~$1M for appeal-to-county-value — a 5x difference that goes unaddressed in the IDP model.</w:t>
      </w:r>
    </w:p>
    <w:p>
      <w:r>
        <w:br w:type="page"/>
      </w:r>
    </w:p>
    <w:p>
      <w:pPr>
        <w:pStyle w:val="Heading1"/>
      </w:pPr>
      <w:r>
        <w:t xml:space="preserve">Tier 2: Methodological Errors</w:t>
      </w:r>
    </w:p>
    <w:p>
      <w:pPr>
        <w:spacing w:after="80" w:before="240"/>
      </w:pPr>
      <w:r>
        <w:rPr>
          <w:b/>
          <w:bCs/>
          <w:color w:val="1F4E78"/>
          <w:sz w:val="24"/>
          <w:szCs w:val="24"/>
        </w:rPr>
        <w:t>Error #7: Wrong Starting TMV (2025 instead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CE4D6" w:val="clear"/>
            <w:tcMar>
              <w:top w:type="dxa" w:w="40"/>
              <w:left w:type="dxa" w:w="120"/>
              <w:bottom w:type="dxa" w:w="40"/>
              <w:right w:type="dxa" w:w="120"/>
            </w:tcMar>
          </w:tcPr>
          <w:p>
            <w:pPr>
              <w:jc w:val="center"/>
            </w:pPr>
            <w:r>
              <w:rPr>
                <w:b/>
                <w:bCs/>
                <w:color w:val="C65911"/>
                <w:sz w:val="20"/>
                <w:szCs w:val="20"/>
              </w:rPr>
              <w:t xml:space="preserve">TIER 2 — Methodological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Inflates baseline by $2.7M; subtle but compounds with #4 and #5</w:t>
            </w:r>
          </w:p>
        </w:tc>
      </w:tr>
    </w:tbl>
    <w:p>
      <w:pPr>
        <w:spacing w:after="120" w:before="0"/>
      </w:pPr>
      <w:r>
        <w:rPr>
          <w:b w:val="false"/>
          <w:bCs w:val="false"/>
          <w:i w:val="false"/>
          <w:iCs w:val="false"/>
        </w:rPr>
        <w:t xml:space="preserve">The 2026 county-set TMV is $52,151,000 (per Hennepin County's January 2, 2026 assessor letter). IDP's analysis uses $54,866,000 as the 2026 starting value — which is the 2025 TMV.</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Inputs!A6 = 'Starting Market Value (2026)'</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Inputs!B6 = 54866000          ← 2025 value, not 2026</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 </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Correct 2026 county-set TMV: $52,151,000</w:t>
      </w:r>
    </w:p>
    <w:p>
      <w:pPr>
        <w:spacing w:after="80" w:before="240"/>
      </w:pPr>
      <w:r>
        <w:rPr>
          <w:b/>
          <w:bCs/>
          <w:color w:val="1F4E78"/>
          <w:sz w:val="24"/>
          <w:szCs w:val="24"/>
        </w:rPr>
        <w:t>Error #8: Mis-frames TIF Reduction as Ownership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CE4D6" w:val="clear"/>
            <w:tcMar>
              <w:top w:type="dxa" w:w="40"/>
              <w:left w:type="dxa" w:w="120"/>
              <w:bottom w:type="dxa" w:w="40"/>
              <w:right w:type="dxa" w:w="120"/>
            </w:tcMar>
          </w:tcPr>
          <w:p>
            <w:pPr>
              <w:jc w:val="center"/>
            </w:pPr>
            <w:r>
              <w:rPr>
                <w:b/>
                <w:bCs/>
                <w:color w:val="C65911"/>
                <w:sz w:val="20"/>
                <w:szCs w:val="20"/>
              </w:rPr>
              <w:t xml:space="preserve">TIER 2 — Methodological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Treats TIF stream as fully owner-impacted; ignores the offsetting tax bill reduction</w:t>
            </w:r>
          </w:p>
        </w:tc>
      </w:tr>
    </w:tbl>
    <w:p>
      <w:pPr>
        <w:spacing w:after="120" w:before="0"/>
      </w:pPr>
      <w:r>
        <w:rPr>
          <w:b w:val="false"/>
          <w:bCs w:val="false"/>
          <w:i w:val="false"/>
          <w:iCs w:val="false"/>
        </w:rPr>
        <w:t xml:space="preserve">IDP's 'Cash Savings' tab subtracts the entire TIF reduction (Increment_Comparison!I) from the appeal's gross tax savings. This treats the TIF reduction as a 1:1 cost to ownership, but the LLC is BOTH the property owner (paying property tax) AND the TIF Note holder (receiving TIF). The proper net flow accounts for the fact that when property tax drops, both the tax bill AND the TIF flow drop — and the LLC retains the difference (i.e., the 10% admin holdback that DOESN'T flow back via TIF).</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Cash Savings!F4 = D4 − E4</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  where D4 = net tax savings (after attorney fee)</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        E4 = TIF reduction (1:1 deduction from savings)</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 </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The TIF reduction is treated as a full cost — but in reality</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only the admin-holdback portion is a true 'leakage' to ownership.</w:t>
      </w:r>
    </w:p>
    <w:p>
      <w:pPr>
        <w:spacing w:after="80" w:before="240"/>
      </w:pPr>
      <w:r>
        <w:rPr>
          <w:b/>
          <w:bCs/>
          <w:color w:val="1F4E78"/>
          <w:sz w:val="24"/>
          <w:szCs w:val="24"/>
        </w:rPr>
        <w:t>Error #9: Sensitivity Analysis Flexes the Wrong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CE4D6" w:val="clear"/>
            <w:tcMar>
              <w:top w:type="dxa" w:w="40"/>
              <w:left w:type="dxa" w:w="120"/>
              <w:bottom w:type="dxa" w:w="40"/>
              <w:right w:type="dxa" w:w="120"/>
            </w:tcMar>
          </w:tcPr>
          <w:p>
            <w:pPr>
              <w:jc w:val="center"/>
            </w:pPr>
            <w:r>
              <w:rPr>
                <w:b/>
                <w:bCs/>
                <w:color w:val="C65911"/>
                <w:sz w:val="20"/>
                <w:szCs w:val="20"/>
              </w:rPr>
              <w:t xml:space="preserve">TIER 2 — Methodological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Tests TMV growth (which moves both sides) instead of appeal target (the decision variable)</w:t>
            </w:r>
          </w:p>
        </w:tc>
      </w:tr>
    </w:tbl>
    <w:p>
      <w:pPr>
        <w:spacing w:after="120" w:before="0"/>
      </w:pPr>
      <w:r>
        <w:rPr>
          <w:b w:val="false"/>
          <w:bCs w:val="false"/>
          <w:i w:val="false"/>
          <w:iCs w:val="false"/>
        </w:rPr>
        <w:t xml:space="preserve">Sensitivity_Analysis flexes TMV growth rates from -2% to +6% across seven scenarios (B27:B33). This tests resilience of conclusions to market conditions — but the actual decision variable is the appeal target value. A proper sensitivity would test different appeal targets (e.g., $43.835M / $47.5M / $50M / $52.15M) at a fixed growth assumption.</w:t>
      </w:r>
    </w:p>
    <w:p>
      <w:pPr>
        <w:spacing w:after="40" w:before="80"/>
      </w:pPr>
      <w:r>
        <w:rPr>
          <w:rFonts w:ascii="Arial" w:cs="Arial" w:eastAsia="Arial" w:hAnsi="Arial"/>
          <w:b/>
          <w:bCs/>
          <w:sz w:val="18"/>
          <w:szCs w:val="18"/>
        </w:rPr>
        <w:t xml:space="preserve">Growth-rate flex (wrong axis for decision sensitivity)</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Sensitivity_Analysis!B27 = -0.02    ← Growth rate scenario 1</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Sensitivity_Analysis!B28 = -0.01    ← Growth rate scenario 2</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Sensitivity_Analysis!B29 =  0.00</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Sensitivity_Analysis!B30 =  0.02</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Sensitivity_Analysis!B31 =  0.04    ← market consensus</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Sensitivity_Analysis!B32 =  0.05</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Sensitivity_Analysis!B33 =  0.06</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 </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Appeal target value: held constant at Inputs!B8 throughout.</w:t>
      </w:r>
    </w:p>
    <w:p>
      <w:pPr>
        <w:spacing w:after="80" w:before="240"/>
      </w:pPr>
      <w:r>
        <w:rPr>
          <w:b/>
          <w:bCs/>
          <w:color w:val="1F4E78"/>
          <w:sz w:val="24"/>
          <w:szCs w:val="24"/>
        </w:rPr>
        <w:t>Error #10: Cherry-Picked TMV Growth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CE4D6" w:val="clear"/>
            <w:tcMar>
              <w:top w:type="dxa" w:w="40"/>
              <w:left w:type="dxa" w:w="120"/>
              <w:bottom w:type="dxa" w:w="40"/>
              <w:right w:type="dxa" w:w="120"/>
            </w:tcMar>
          </w:tcPr>
          <w:p>
            <w:pPr>
              <w:jc w:val="center"/>
            </w:pPr>
            <w:r>
              <w:rPr>
                <w:b/>
                <w:bCs/>
                <w:color w:val="C65911"/>
                <w:sz w:val="20"/>
                <w:szCs w:val="20"/>
              </w:rPr>
              <w:t xml:space="preserve">TIER 2 — Methodological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2.5% growth assumption is below 10-year Minneapolis multifamily average</w:t>
            </w:r>
          </w:p>
        </w:tc>
      </w:tr>
    </w:tbl>
    <w:p>
      <w:pPr>
        <w:spacing w:after="120" w:before="0"/>
      </w:pPr>
      <w:r>
        <w:rPr>
          <w:b w:val="false"/>
          <w:bCs w:val="false"/>
          <w:i w:val="false"/>
          <w:iCs w:val="false"/>
        </w:rPr>
        <w:t xml:space="preserve">IDP's base case uses 2.5% TMV growth (Inputs!B7 = 0.025). The Twin Cities multifamily market has averaged 4-5% annual TMV appreciation over the last 10 years per Hennepin County assessment data. Lower growth assumptions reduce the 'risk' that the Note balance grows faster than the TIF can pay it down — which would make a non-appeal scenario look safer relative to appealing.</w:t>
      </w:r>
    </w:p>
    <w:p>
      <w:pPr>
        <w:spacing w:after="80" w:before="240"/>
      </w:pPr>
      <w:r>
        <w:rPr>
          <w:b/>
          <w:bCs/>
          <w:color w:val="1F4E78"/>
          <w:sz w:val="24"/>
          <w:szCs w:val="24"/>
        </w:rPr>
        <w:t>Error #11: Misrepresents Operative Constraints on Appeal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CE4D6" w:val="clear"/>
            <w:tcMar>
              <w:top w:type="dxa" w:w="40"/>
              <w:left w:type="dxa" w:w="120"/>
              <w:bottom w:type="dxa" w:w="40"/>
              <w:right w:type="dxa" w:w="120"/>
            </w:tcMar>
          </w:tcPr>
          <w:p>
            <w:pPr>
              <w:jc w:val="center"/>
            </w:pPr>
            <w:r>
              <w:rPr>
                <w:b/>
                <w:bCs/>
                <w:color w:val="C65911"/>
                <w:sz w:val="20"/>
                <w:szCs w:val="20"/>
              </w:rPr>
              <w:t xml:space="preserve">TIER 2 — Methodological Error</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Suggests the MAA Floor is a property-value limit rather than an assessor's contractual constraint</w:t>
            </w:r>
          </w:p>
        </w:tc>
      </w:tr>
    </w:tbl>
    <w:p>
      <w:pPr>
        <w:spacing w:after="120" w:before="0"/>
      </w:pPr>
      <w:r>
        <w:rPr>
          <w:b w:val="false"/>
          <w:bCs w:val="false"/>
          <w:i w:val="false"/>
          <w:iCs w:val="false"/>
        </w:rPr>
        <w:t xml:space="preserve">IDP's discussion (in supplemental commentary, not the workbook itself) suggests that appealing below $52.15M creates risk with the County or City. In fact, the MAA Floor of $43.835M is the ONLY contractual constraint on appeal — and it is binding on the assessor (per Minnesota Statute 469.177, subd. 8). Within the floor, any appeal value is legally permissible.</w:t>
      </w:r>
    </w:p>
    <w:p>
      <w:r>
        <w:br w:type="page"/>
      </w:r>
    </w:p>
    <w:p>
      <w:pPr>
        <w:pStyle w:val="Heading1"/>
      </w:pPr>
      <w:r>
        <w:t xml:space="preserve">Tier 3: Formula Bugs</w:t>
      </w:r>
    </w:p>
    <w:p>
      <w:pPr>
        <w:spacing w:after="80" w:before="240"/>
      </w:pPr>
      <w:r>
        <w:rPr>
          <w:b/>
          <w:bCs/>
          <w:color w:val="1F4E78"/>
          <w:sz w:val="24"/>
          <w:szCs w:val="24"/>
        </w:rPr>
        <w:t>Error #12: MIN() Formula References a Text Header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F2CC" w:val="clear"/>
            <w:tcMar>
              <w:top w:type="dxa" w:w="40"/>
              <w:left w:type="dxa" w:w="120"/>
              <w:bottom w:type="dxa" w:w="40"/>
              <w:right w:type="dxa" w:w="120"/>
            </w:tcMar>
          </w:tcPr>
          <w:p>
            <w:pPr>
              <w:jc w:val="center"/>
            </w:pPr>
            <w:r>
              <w:rPr>
                <w:b/>
                <w:bCs/>
                <w:color w:val="806000"/>
                <w:sz w:val="20"/>
                <w:szCs w:val="20"/>
              </w:rPr>
              <w:t xml:space="preserve">TIER 3 — Formula Bug</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Silently 'works' because MIN() ignores text, but indicates lack of formula auditing</w:t>
            </w:r>
          </w:p>
        </w:tc>
      </w:tr>
    </w:tbl>
    <w:p>
      <w:pPr>
        <w:spacing w:after="120" w:before="0"/>
      </w:pPr>
      <w:r>
        <w:rPr>
          <w:b w:val="false"/>
          <w:bCs w:val="false"/>
          <w:i w:val="false"/>
          <w:iCs w:val="false"/>
        </w:rPr>
        <w:t xml:space="preserve">The 'Appeal Value' column (Increment_Comparison!C) uses MIN() to cap the appeal value at the appeal target. In year 1, the formula references B2 — which is the literal text 'Market Value' (the header row), not a numeric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Increment_Comparison!C3</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Should reference current row</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C3: =MIN(B2, Inputs!B8)</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B2 contains: 'Market Value'</w:t>
            </w:r>
          </w:p>
          <w:p>
            <w:pPr>
              <w:spacing w:after="0" w:before="0"/>
            </w:pPr>
            <w:r>
              <w:rPr>
                <w:rFonts w:ascii="Consolas" w:cs="Consolas" w:eastAsia="Consolas" w:hAnsi="Consolas"/>
                <w:sz w:val="16"/>
                <w:szCs w:val="16"/>
              </w:rPr>
              <w:t xml:space="preserve">  (string, not a number)</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Excel's MIN() ignores text args.</w:t>
            </w:r>
          </w:p>
          <w:p>
            <w:pPr>
              <w:spacing w:after="0" w:before="0"/>
            </w:pPr>
            <w:r>
              <w:rPr>
                <w:rFonts w:ascii="Consolas" w:cs="Consolas" w:eastAsia="Consolas" w:hAnsi="Consolas"/>
                <w:sz w:val="16"/>
                <w:szCs w:val="16"/>
              </w:rPr>
              <w:t xml:space="preserve">Returns Inputs!B8 ($52.15M).</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Coincidentally 'works' but the</w:t>
            </w:r>
          </w:p>
          <w:p>
            <w:pPr>
              <w:spacing w:after="0" w:before="0"/>
            </w:pPr>
            <w:r>
              <w:rPr>
                <w:rFonts w:ascii="Consolas" w:cs="Consolas" w:eastAsia="Consolas" w:hAnsi="Consolas"/>
                <w:sz w:val="16"/>
                <w:szCs w:val="16"/>
              </w:rPr>
              <w:t xml:space="preserve">formula is malformed.</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C3: =MIN(B3, Inputs!B8)</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Compare current year's TMV (B3)</w:t>
            </w:r>
          </w:p>
          <w:p>
            <w:pPr>
              <w:spacing w:after="0" w:before="0"/>
            </w:pPr>
            <w:r>
              <w:rPr>
                <w:rFonts w:ascii="Consolas" w:cs="Consolas" w:eastAsia="Consolas" w:hAnsi="Consolas"/>
                <w:sz w:val="16"/>
                <w:szCs w:val="16"/>
              </w:rPr>
              <w:t xml:space="preserve">to the appeal cap.</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All subsequent cells (C4-C12)</w:t>
            </w:r>
          </w:p>
          <w:p>
            <w:pPr>
              <w:spacing w:after="0" w:before="0"/>
            </w:pPr>
            <w:r>
              <w:rPr>
                <w:rFonts w:ascii="Consolas" w:cs="Consolas" w:eastAsia="Consolas" w:hAnsi="Consolas"/>
                <w:sz w:val="16"/>
                <w:szCs w:val="16"/>
              </w:rPr>
              <w:t xml:space="preserve">also have an off-by-one issue:</w:t>
            </w:r>
          </w:p>
          <w:p>
            <w:pPr>
              <w:spacing w:after="0" w:before="0"/>
            </w:pPr>
            <w:r>
              <w:rPr>
                <w:rFonts w:ascii="Consolas" w:cs="Consolas" w:eastAsia="Consolas" w:hAnsi="Consolas"/>
                <w:sz w:val="16"/>
                <w:szCs w:val="16"/>
              </w:rPr>
              <w:t xml:space="preserve">they reference prior year (B3,</w:t>
            </w:r>
          </w:p>
          <w:p>
            <w:pPr>
              <w:spacing w:after="0" w:before="0"/>
            </w:pPr>
            <w:r>
              <w:rPr>
                <w:rFonts w:ascii="Consolas" w:cs="Consolas" w:eastAsia="Consolas" w:hAnsi="Consolas"/>
                <w:sz w:val="16"/>
                <w:szCs w:val="16"/>
              </w:rPr>
              <w:t xml:space="preserve">B4...) instead of current.</w:t>
            </w:r>
          </w:p>
        </w:tc>
      </w:tr>
    </w:tbl>
    <w:p>
      <w:pPr>
        <w:spacing w:after="80" w:before="240"/>
      </w:pPr>
      <w:r>
        <w:rPr>
          <w:b/>
          <w:bCs/>
          <w:color w:val="1F4E78"/>
          <w:sz w:val="24"/>
          <w:szCs w:val="24"/>
        </w:rPr>
        <w:t>Error #13: Off-by-One Error: 'TIF (No Appeal)' Column References Prior Year's TMV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F2CC" w:val="clear"/>
            <w:tcMar>
              <w:top w:type="dxa" w:w="40"/>
              <w:left w:type="dxa" w:w="120"/>
              <w:bottom w:type="dxa" w:w="40"/>
              <w:right w:type="dxa" w:w="120"/>
            </w:tcMar>
          </w:tcPr>
          <w:p>
            <w:pPr>
              <w:jc w:val="center"/>
            </w:pPr>
            <w:r>
              <w:rPr>
                <w:b/>
                <w:bCs/>
                <w:color w:val="806000"/>
                <w:sz w:val="20"/>
                <w:szCs w:val="20"/>
              </w:rPr>
              <w:t xml:space="preserve">TIER 3 — Formula Bug</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Every year from Year 3 onward in the No-Appeal TIF column uses prior-year TMV</w:t>
            </w:r>
          </w:p>
        </w:tc>
      </w:tr>
    </w:tbl>
    <w:p>
      <w:pPr>
        <w:spacing w:after="120" w:before="0"/>
      </w:pPr>
      <w:r>
        <w:rPr>
          <w:b w:val="false"/>
          <w:bCs w:val="false"/>
          <w:i w:val="false"/>
          <w:iCs w:val="false"/>
        </w:rPr>
        <w:t xml:space="preserve">Beginning in row 5 (year 3) and continuing through row 12 (year 10), the 'TIF (No Appeal)' formulas in column E reference the PRIOR year's TMV instead of the current year's. This understates baseline TIF by approximately 2.5% per year cumulatively (because TMV is growing at 2.5%/year in IDP's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Increment_Comparison!E5:E12</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Should reference same-row TMV</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E3: =B3 × [params]     ✓ correct</w:t>
            </w:r>
          </w:p>
          <w:p>
            <w:pPr>
              <w:spacing w:after="0" w:before="0"/>
            </w:pPr>
            <w:r>
              <w:rPr>
                <w:rFonts w:ascii="Consolas" w:cs="Consolas" w:eastAsia="Consolas" w:hAnsi="Consolas"/>
                <w:sz w:val="16"/>
                <w:szCs w:val="16"/>
              </w:rPr>
              <w:t xml:space="preserve">E4: =B4 × [params]     ✓ correct</w:t>
            </w:r>
          </w:p>
          <w:p>
            <w:pPr>
              <w:spacing w:after="0" w:before="0"/>
            </w:pPr>
            <w:r>
              <w:rPr>
                <w:rFonts w:ascii="Consolas" w:cs="Consolas" w:eastAsia="Consolas" w:hAnsi="Consolas"/>
                <w:sz w:val="16"/>
                <w:szCs w:val="16"/>
              </w:rPr>
              <w:t xml:space="preserve">E5: =B5 × [params]     ✓ correct</w:t>
            </w:r>
          </w:p>
          <w:p>
            <w:pPr>
              <w:spacing w:after="0" w:before="0"/>
            </w:pPr>
            <w:r>
              <w:rPr>
                <w:rFonts w:ascii="Consolas" w:cs="Consolas" w:eastAsia="Consolas" w:hAnsi="Consolas"/>
                <w:sz w:val="16"/>
                <w:szCs w:val="16"/>
              </w:rPr>
              <w:t xml:space="preserve">                       (here it changes)</w:t>
            </w:r>
          </w:p>
          <w:p>
            <w:pPr>
              <w:spacing w:after="0" w:before="0"/>
            </w:pPr>
            <w:r>
              <w:rPr>
                <w:rFonts w:ascii="Consolas" w:cs="Consolas" w:eastAsia="Consolas" w:hAnsi="Consolas"/>
                <w:sz w:val="16"/>
                <w:szCs w:val="16"/>
              </w:rPr>
              <w:t xml:space="preserve">E6: =B5 × [params]     ✗ uses B5</w:t>
            </w:r>
          </w:p>
          <w:p>
            <w:pPr>
              <w:spacing w:after="0" w:before="0"/>
            </w:pPr>
            <w:r>
              <w:rPr>
                <w:rFonts w:ascii="Consolas" w:cs="Consolas" w:eastAsia="Consolas" w:hAnsi="Consolas"/>
                <w:sz w:val="16"/>
                <w:szCs w:val="16"/>
              </w:rPr>
              <w:t xml:space="preserve">E7: =B6 × [params]     ✗ uses B6</w:t>
            </w:r>
          </w:p>
          <w:p>
            <w:pPr>
              <w:spacing w:after="0" w:before="0"/>
            </w:pPr>
            <w:r>
              <w:rPr>
                <w:rFonts w:ascii="Consolas" w:cs="Consolas" w:eastAsia="Consolas" w:hAnsi="Consolas"/>
                <w:sz w:val="16"/>
                <w:szCs w:val="16"/>
              </w:rPr>
              <w:t xml:space="preserve">E8: =B7 × [params]     ✗ uses B7</w:t>
            </w:r>
          </w:p>
          <w:p>
            <w:pPr>
              <w:spacing w:after="0" w:before="0"/>
            </w:pPr>
            <w:r>
              <w:rPr>
                <w:rFonts w:ascii="Consolas" w:cs="Consolas" w:eastAsia="Consolas" w:hAnsi="Consolas"/>
                <w:sz w:val="16"/>
                <w:szCs w:val="16"/>
              </w:rPr>
              <w:t xml:space="preserve">E9: =B8 × [params]     ✗ uses B8</w:t>
            </w:r>
          </w:p>
          <w:p>
            <w:pPr>
              <w:spacing w:after="0" w:before="0"/>
            </w:pPr>
            <w:r>
              <w:rPr>
                <w:rFonts w:ascii="Consolas" w:cs="Consolas" w:eastAsia="Consolas" w:hAnsi="Consolas"/>
                <w:sz w:val="16"/>
                <w:szCs w:val="16"/>
              </w:rPr>
              <w:t xml:space="preserve">...etc through E12</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Each year's TIF is calc'd on the</w:t>
            </w:r>
          </w:p>
          <w:p>
            <w:pPr>
              <w:spacing w:after="0" w:before="0"/>
            </w:pPr>
            <w:r>
              <w:rPr>
                <w:rFonts w:ascii="Consolas" w:cs="Consolas" w:eastAsia="Consolas" w:hAnsi="Consolas"/>
                <w:sz w:val="16"/>
                <w:szCs w:val="16"/>
              </w:rPr>
              <w:t xml:space="preserve">PRIOR year's market value.</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E6: =B6 × [params]     ← current</w:t>
            </w:r>
          </w:p>
          <w:p>
            <w:pPr>
              <w:spacing w:after="0" w:before="0"/>
            </w:pPr>
            <w:r>
              <w:rPr>
                <w:rFonts w:ascii="Consolas" w:cs="Consolas" w:eastAsia="Consolas" w:hAnsi="Consolas"/>
                <w:sz w:val="16"/>
                <w:szCs w:val="16"/>
              </w:rPr>
              <w:t xml:space="preserve">E7: =B7 × [params]     ← current</w:t>
            </w:r>
          </w:p>
          <w:p>
            <w:pPr>
              <w:spacing w:after="0" w:before="0"/>
            </w:pPr>
            <w:r>
              <w:rPr>
                <w:rFonts w:ascii="Consolas" w:cs="Consolas" w:eastAsia="Consolas" w:hAnsi="Consolas"/>
                <w:sz w:val="16"/>
                <w:szCs w:val="16"/>
              </w:rPr>
              <w:t xml:space="preserve">E8: =B8 × [params]     ← current</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Each year's TIF should be</w:t>
            </w:r>
          </w:p>
          <w:p>
            <w:pPr>
              <w:spacing w:after="0" w:before="0"/>
            </w:pPr>
            <w:r>
              <w:rPr>
                <w:rFonts w:ascii="Consolas" w:cs="Consolas" w:eastAsia="Consolas" w:hAnsi="Consolas"/>
                <w:sz w:val="16"/>
                <w:szCs w:val="16"/>
              </w:rPr>
              <w:t xml:space="preserve">calculated on THAT year's TMV.</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The error pattern is consistent</w:t>
            </w:r>
          </w:p>
          <w:p>
            <w:pPr>
              <w:spacing w:after="0" w:before="0"/>
            </w:pPr>
            <w:r>
              <w:rPr>
                <w:rFonts w:ascii="Consolas" w:cs="Consolas" w:eastAsia="Consolas" w:hAnsi="Consolas"/>
                <w:sz w:val="16"/>
                <w:szCs w:val="16"/>
              </w:rPr>
              <w:t xml:space="preserve">with someone manually editing</w:t>
            </w:r>
          </w:p>
          <w:p>
            <w:pPr>
              <w:spacing w:after="0" w:before="0"/>
            </w:pPr>
            <w:r>
              <w:rPr>
                <w:rFonts w:ascii="Consolas" w:cs="Consolas" w:eastAsia="Consolas" w:hAnsi="Consolas"/>
                <w:sz w:val="16"/>
                <w:szCs w:val="16"/>
              </w:rPr>
              <w:t xml:space="preserve">formulas and missing a row.</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No formula auditing was done.</w:t>
            </w:r>
          </w:p>
        </w:tc>
      </w:tr>
    </w:tbl>
    <w:p>
      <w:pPr>
        <w:spacing w:after="80" w:before="240"/>
      </w:pPr>
      <w:r>
        <w:rPr>
          <w:b/>
          <w:bCs/>
          <w:color w:val="1F4E78"/>
          <w:sz w:val="24"/>
          <w:szCs w:val="24"/>
        </w:rPr>
        <w:t>Error #14: TIF (Appeal) Column Simply Copies Prior Year's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F2CC" w:val="clear"/>
            <w:tcMar>
              <w:top w:type="dxa" w:w="40"/>
              <w:left w:type="dxa" w:w="120"/>
              <w:bottom w:type="dxa" w:w="40"/>
              <w:right w:type="dxa" w:w="120"/>
            </w:tcMar>
          </w:tcPr>
          <w:p>
            <w:pPr>
              <w:jc w:val="center"/>
            </w:pPr>
            <w:r>
              <w:rPr>
                <w:b/>
                <w:bCs/>
                <w:color w:val="806000"/>
                <w:sz w:val="20"/>
                <w:szCs w:val="20"/>
              </w:rPr>
              <w:t xml:space="preserve">TIER 3 — Formula Bug</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Appeal TIF doesn't grow at all from Year 2 onward in the No-Appeal block</w:t>
            </w:r>
          </w:p>
        </w:tc>
      </w:tr>
    </w:tbl>
    <w:p>
      <w:pPr>
        <w:spacing w:after="120" w:before="0"/>
      </w:pPr>
      <w:r>
        <w:rPr>
          <w:b w:val="false"/>
          <w:bCs w:val="false"/>
          <w:i w:val="false"/>
          <w:iCs w:val="false"/>
        </w:rPr>
        <w:t xml:space="preserve">The 'TIF (Appeal)' column (Increment_Comparison!F) starts correctly in F3 and F4, but from F5 onward it just copies the prior year's value. The result: in the appeal scenario, IDP's model shows ZERO TIF growth from year 2 through year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Increment_Comparison!F5:F12</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Should reference appeal value × params</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F3: =C3 × [params]     ✓</w:t>
            </w:r>
          </w:p>
          <w:p>
            <w:pPr>
              <w:spacing w:after="0" w:before="0"/>
            </w:pPr>
            <w:r>
              <w:rPr>
                <w:rFonts w:ascii="Consolas" w:cs="Consolas" w:eastAsia="Consolas" w:hAnsi="Consolas"/>
                <w:sz w:val="16"/>
                <w:szCs w:val="16"/>
              </w:rPr>
              <w:t xml:space="preserve">F4: =C4 × [params]     ✓</w:t>
            </w:r>
          </w:p>
          <w:p>
            <w:pPr>
              <w:spacing w:after="0" w:before="0"/>
            </w:pPr>
            <w:r>
              <w:rPr>
                <w:rFonts w:ascii="Consolas" w:cs="Consolas" w:eastAsia="Consolas" w:hAnsi="Consolas"/>
                <w:sz w:val="16"/>
                <w:szCs w:val="16"/>
              </w:rPr>
              <w:t xml:space="preserve">F5: =F4                ✗ copies F4</w:t>
            </w:r>
          </w:p>
          <w:p>
            <w:pPr>
              <w:spacing w:after="0" w:before="0"/>
            </w:pPr>
            <w:r>
              <w:rPr>
                <w:rFonts w:ascii="Consolas" w:cs="Consolas" w:eastAsia="Consolas" w:hAnsi="Consolas"/>
                <w:sz w:val="16"/>
                <w:szCs w:val="16"/>
              </w:rPr>
              <w:t xml:space="preserve">F6: =F5                ✗ copies F5</w:t>
            </w:r>
          </w:p>
          <w:p>
            <w:pPr>
              <w:spacing w:after="0" w:before="0"/>
            </w:pPr>
            <w:r>
              <w:rPr>
                <w:rFonts w:ascii="Consolas" w:cs="Consolas" w:eastAsia="Consolas" w:hAnsi="Consolas"/>
                <w:sz w:val="16"/>
                <w:szCs w:val="16"/>
              </w:rPr>
              <w:t xml:space="preserve">F7: =F6                ✗ copies F6</w:t>
            </w:r>
          </w:p>
          <w:p>
            <w:pPr>
              <w:spacing w:after="0" w:before="0"/>
            </w:pPr>
            <w:r>
              <w:rPr>
                <w:rFonts w:ascii="Consolas" w:cs="Consolas" w:eastAsia="Consolas" w:hAnsi="Consolas"/>
                <w:sz w:val="16"/>
                <w:szCs w:val="16"/>
              </w:rPr>
              <w:t xml:space="preserve">...continues for 6 more rows</w:t>
            </w:r>
          </w:p>
          <w:p>
            <w:pPr>
              <w:spacing w:after="0" w:before="0"/>
            </w:pPr>
            <w:r>
              <w:rPr>
                <w:rFonts w:ascii="Consolas" w:cs="Consolas" w:eastAsia="Consolas" w:hAnsi="Consolas"/>
                <w:sz w:val="16"/>
                <w:szCs w:val="16"/>
              </w:rPr>
              <w:t xml:space="preserve">F12: =F11              ✗ copies F11</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Appeal TIF is FLAT for 8 years.</w:t>
            </w:r>
          </w:p>
          <w:p>
            <w:pPr>
              <w:spacing w:after="0" w:before="0"/>
            </w:pPr>
            <w:r>
              <w:rPr>
                <w:rFonts w:ascii="Consolas" w:cs="Consolas" w:eastAsia="Consolas" w:hAnsi="Consolas"/>
                <w:sz w:val="16"/>
                <w:szCs w:val="16"/>
              </w:rPr>
              <w:t xml:space="preserve">This is not a 2.5% growth scenario;</w:t>
            </w:r>
          </w:p>
          <w:p>
            <w:pPr>
              <w:spacing w:after="0" w:before="0"/>
            </w:pPr>
            <w:r>
              <w:rPr>
                <w:rFonts w:ascii="Consolas" w:cs="Consolas" w:eastAsia="Consolas" w:hAnsi="Consolas"/>
                <w:sz w:val="16"/>
                <w:szCs w:val="16"/>
              </w:rPr>
              <w:t xml:space="preserve">it's a zero-growth scenario in the</w:t>
            </w:r>
          </w:p>
          <w:p>
            <w:pPr>
              <w:spacing w:after="0" w:before="0"/>
            </w:pPr>
            <w:r>
              <w:rPr>
                <w:rFonts w:ascii="Consolas" w:cs="Consolas" w:eastAsia="Consolas" w:hAnsi="Consolas"/>
                <w:sz w:val="16"/>
                <w:szCs w:val="16"/>
              </w:rPr>
              <w:t xml:space="preserve">appeal column.</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F5: =C5 × [params]</w:t>
            </w:r>
          </w:p>
          <w:p>
            <w:pPr>
              <w:spacing w:after="0" w:before="0"/>
            </w:pPr>
            <w:r>
              <w:rPr>
                <w:rFonts w:ascii="Consolas" w:cs="Consolas" w:eastAsia="Consolas" w:hAnsi="Consolas"/>
                <w:sz w:val="16"/>
                <w:szCs w:val="16"/>
              </w:rPr>
              <w:t xml:space="preserve">F6: =C6 × [params]</w:t>
            </w:r>
          </w:p>
          <w:p>
            <w:pPr>
              <w:spacing w:after="0" w:before="0"/>
            </w:pPr>
            <w:r>
              <w:rPr>
                <w:rFonts w:ascii="Consolas" w:cs="Consolas" w:eastAsia="Consolas" w:hAnsi="Consolas"/>
                <w:sz w:val="16"/>
                <w:szCs w:val="16"/>
              </w:rPr>
              <w:t xml:space="preserve">F7: =C7 × [params]</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F12: =C12 × [params]</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Each year's appeal TIF should</w:t>
            </w:r>
          </w:p>
          <w:p>
            <w:pPr>
              <w:spacing w:after="0" w:before="0"/>
            </w:pPr>
            <w:r>
              <w:rPr>
                <w:rFonts w:ascii="Consolas" w:cs="Consolas" w:eastAsia="Consolas" w:hAnsi="Consolas"/>
                <w:sz w:val="16"/>
                <w:szCs w:val="16"/>
              </w:rPr>
              <w:t xml:space="preserve">be calculated on that year's</w:t>
            </w:r>
          </w:p>
          <w:p>
            <w:pPr>
              <w:spacing w:after="0" w:before="0"/>
            </w:pPr>
            <w:r>
              <w:rPr>
                <w:rFonts w:ascii="Consolas" w:cs="Consolas" w:eastAsia="Consolas" w:hAnsi="Consolas"/>
                <w:sz w:val="16"/>
                <w:szCs w:val="16"/>
              </w:rPr>
              <w:t xml:space="preserve">appeal value times the standard</w:t>
            </w:r>
          </w:p>
          <w:p>
            <w:pPr>
              <w:spacing w:after="0" w:before="0"/>
            </w:pPr>
            <w:r>
              <w:rPr>
                <w:rFonts w:ascii="Consolas" w:cs="Consolas" w:eastAsia="Consolas" w:hAnsi="Consolas"/>
                <w:sz w:val="16"/>
                <w:szCs w:val="16"/>
              </w:rPr>
              <w:t xml:space="preserve">TIF parameters.</w:t>
            </w:r>
          </w:p>
        </w:tc>
      </w:tr>
    </w:tbl>
    <w:p>
      <w:pPr>
        <w:spacing w:after="80" w:before="240"/>
      </w:pPr>
      <w:r>
        <w:rPr>
          <w:b/>
          <w:bCs/>
          <w:color w:val="1F4E78"/>
          <w:sz w:val="24"/>
          <w:szCs w:val="24"/>
        </w:rPr>
        <w:t>Error #15: Year-6 Off-By-One Error Replicated Across All 7 Sensitivity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FF2CC" w:val="clear"/>
            <w:tcMar>
              <w:top w:type="dxa" w:w="40"/>
              <w:left w:type="dxa" w:w="120"/>
              <w:bottom w:type="dxa" w:w="40"/>
              <w:right w:type="dxa" w:w="120"/>
            </w:tcMar>
          </w:tcPr>
          <w:p>
            <w:pPr>
              <w:jc w:val="center"/>
            </w:pPr>
            <w:r>
              <w:rPr>
                <w:b/>
                <w:bCs/>
                <w:color w:val="806000"/>
                <w:sz w:val="20"/>
                <w:szCs w:val="20"/>
              </w:rPr>
              <w:t xml:space="preserve">TIER 3 — Formula Bug</w:t>
            </w:r>
          </w:p>
        </w:tc>
        <w:tc>
          <w:tcPr>
            <w:tcW w:type="dxa" w:w="6240"/>
            <w:tcBorders>
              <w:top w:val="single" w:color="BFBFBF" w:sz="4"/>
              <w:left w:val="single" w:color="BFBFBF" w:sz="4"/>
              <w:bottom w:val="single" w:color="BFBFBF" w:sz="4"/>
              <w:right w:val="single" w:color="BFBFBF" w:sz="4"/>
            </w:tcBorders>
            <w:shd w:fill="F2F2F2" w:val="clear"/>
            <w:tcMar>
              <w:top w:type="dxa" w:w="40"/>
              <w:left w:type="dxa" w:w="120"/>
              <w:bottom w:type="dxa" w:w="40"/>
              <w:right w:type="dxa" w:w="120"/>
            </w:tcMar>
          </w:tcPr>
          <w:p>
            <w:r>
              <w:rPr>
                <w:b/>
                <w:bCs/>
                <w:sz w:val="20"/>
                <w:szCs w:val="20"/>
              </w:rPr>
              <w:t xml:space="preserve">Impact: </w:t>
            </w:r>
            <w:r>
              <w:rPr>
                <w:sz w:val="20"/>
                <w:szCs w:val="20"/>
              </w:rPr>
              <w:t xml:space="preserve">Same error in 7 different cells: H42, H49, H56, H63, H70, H77, H84</w:t>
            </w:r>
          </w:p>
        </w:tc>
      </w:tr>
    </w:tbl>
    <w:p>
      <w:pPr>
        <w:spacing w:after="120" w:before="0"/>
      </w:pPr>
      <w:r>
        <w:rPr>
          <w:b w:val="false"/>
          <w:bCs w:val="false"/>
          <w:i w:val="false"/>
          <w:iCs w:val="false"/>
        </w:rPr>
        <w:t xml:space="preserve">The Sensitivity_Analysis tab has 7 scenario blocks (rows 27-86). In each block, the 'TIF Rev Reduction' row has a single off-by-one error in the Year-6 column (column H). The formula uses G-column source data (Year 5) instead of H-column (Year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b/>
                <w:bCs/>
                <w:color w:val="C00000"/>
                <w:sz w:val="20"/>
                <w:szCs w:val="20"/>
              </w:rPr>
              <w:t xml:space="preserve">IDP's model — Sensitivity_Analysis!H42 (and 6 others)</w:t>
            </w:r>
          </w:p>
        </w:tc>
        <w:tc>
          <w:tcPr>
            <w:tcW w:type="dxa" w:w="468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b/>
                <w:bCs/>
                <w:color w:val="006100"/>
                <w:sz w:val="20"/>
                <w:szCs w:val="20"/>
              </w:rPr>
              <w:t xml:space="preserve">Should follow consistent pattern</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Block 1 (rows 39-44):</w:t>
            </w:r>
          </w:p>
          <w:p>
            <w:pPr>
              <w:spacing w:after="0" w:before="0"/>
            </w:pPr>
            <w:r>
              <w:rPr>
                <w:rFonts w:ascii="Consolas" w:cs="Consolas" w:eastAsia="Consolas" w:hAnsi="Consolas"/>
                <w:sz w:val="16"/>
                <w:szCs w:val="16"/>
              </w:rPr>
              <w:t xml:space="preserve">  G42: =G39 × [params]   ✓</w:t>
            </w:r>
          </w:p>
          <w:p>
            <w:pPr>
              <w:spacing w:after="0" w:before="0"/>
            </w:pPr>
            <w:r>
              <w:rPr>
                <w:rFonts w:ascii="Consolas" w:cs="Consolas" w:eastAsia="Consolas" w:hAnsi="Consolas"/>
                <w:sz w:val="16"/>
                <w:szCs w:val="16"/>
              </w:rPr>
              <w:t xml:space="preserve">  H42: =G39 × [params]   ✗ uses G39 too</w:t>
            </w:r>
          </w:p>
          <w:p>
            <w:pPr>
              <w:spacing w:after="0" w:before="0"/>
            </w:pPr>
            <w:r>
              <w:rPr>
                <w:rFonts w:ascii="Consolas" w:cs="Consolas" w:eastAsia="Consolas" w:hAnsi="Consolas"/>
                <w:sz w:val="16"/>
                <w:szCs w:val="16"/>
              </w:rPr>
              <w:t xml:space="preserve">  I42: =H39 × [params]   ✓</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Same pattern in H49, H56, H63,</w:t>
            </w:r>
          </w:p>
          <w:p>
            <w:pPr>
              <w:spacing w:after="0" w:before="0"/>
            </w:pPr>
            <w:r>
              <w:rPr>
                <w:rFonts w:ascii="Consolas" w:cs="Consolas" w:eastAsia="Consolas" w:hAnsi="Consolas"/>
                <w:sz w:val="16"/>
                <w:szCs w:val="16"/>
              </w:rPr>
              <w:t xml:space="preserve">H70, H77, H84.</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Every Year-6 cell across all 7</w:t>
            </w:r>
          </w:p>
          <w:p>
            <w:pPr>
              <w:spacing w:after="0" w:before="0"/>
            </w:pPr>
            <w:r>
              <w:rPr>
                <w:rFonts w:ascii="Consolas" w:cs="Consolas" w:eastAsia="Consolas" w:hAnsi="Consolas"/>
                <w:sz w:val="16"/>
                <w:szCs w:val="16"/>
              </w:rPr>
              <w:t xml:space="preserve">sensitivity scenarios has the</w:t>
            </w:r>
          </w:p>
          <w:p>
            <w:pPr>
              <w:spacing w:after="0" w:before="0"/>
            </w:pPr>
            <w:r>
              <w:rPr>
                <w:rFonts w:ascii="Consolas" w:cs="Consolas" w:eastAsia="Consolas" w:hAnsi="Consolas"/>
                <w:sz w:val="16"/>
                <w:szCs w:val="16"/>
              </w:rPr>
              <w:t xml:space="preserve">identical bug.</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pPr>
            <w:r>
              <w:rPr>
                <w:rFonts w:ascii="Consolas" w:cs="Consolas" w:eastAsia="Consolas" w:hAnsi="Consolas"/>
                <w:sz w:val="16"/>
                <w:szCs w:val="16"/>
              </w:rPr>
              <w:t xml:space="preserve">Block 1 corrected:</w:t>
            </w:r>
          </w:p>
          <w:p>
            <w:pPr>
              <w:spacing w:after="0" w:before="0"/>
            </w:pPr>
            <w:r>
              <w:rPr>
                <w:rFonts w:ascii="Consolas" w:cs="Consolas" w:eastAsia="Consolas" w:hAnsi="Consolas"/>
                <w:sz w:val="16"/>
                <w:szCs w:val="16"/>
              </w:rPr>
              <w:t xml:space="preserve">  H42: =H39 × [params]</w:t>
            </w:r>
          </w:p>
          <w:p>
            <w:pPr>
              <w:spacing w:after="0" w:before="0"/>
            </w:pPr>
            <w:r>
              <w:rPr>
                <w:rFonts w:ascii="Consolas" w:cs="Consolas" w:eastAsia="Consolas" w:hAnsi="Consolas"/>
                <w:sz w:val="16"/>
                <w:szCs w:val="16"/>
              </w:rPr>
              <w:t xml:space="preserve">        ↑ matches column letter</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Suggests the formula was</w:t>
            </w:r>
          </w:p>
          <w:p>
            <w:pPr>
              <w:spacing w:after="0" w:before="0"/>
            </w:pPr>
            <w:r>
              <w:rPr>
                <w:rFonts w:ascii="Consolas" w:cs="Consolas" w:eastAsia="Consolas" w:hAnsi="Consolas"/>
                <w:sz w:val="16"/>
                <w:szCs w:val="16"/>
              </w:rPr>
              <w:t xml:space="preserve">copy-pasted from G to H without</w:t>
            </w:r>
          </w:p>
          <w:p>
            <w:pPr>
              <w:spacing w:after="0" w:before="0"/>
            </w:pPr>
            <w:r>
              <w:rPr>
                <w:rFonts w:ascii="Consolas" w:cs="Consolas" w:eastAsia="Consolas" w:hAnsi="Consolas"/>
                <w:sz w:val="16"/>
                <w:szCs w:val="16"/>
              </w:rPr>
              <w:t xml:space="preserve">updating the relative reference,</w:t>
            </w:r>
          </w:p>
          <w:p>
            <w:pPr>
              <w:spacing w:after="0" w:before="0"/>
            </w:pPr>
            <w:r>
              <w:rPr>
                <w:rFonts w:ascii="Consolas" w:cs="Consolas" w:eastAsia="Consolas" w:hAnsi="Consolas"/>
                <w:sz w:val="16"/>
                <w:szCs w:val="16"/>
              </w:rPr>
              <w:t xml:space="preserve">then propagated unchanged across</w:t>
            </w:r>
          </w:p>
          <w:p>
            <w:pPr>
              <w:spacing w:after="0" w:before="0"/>
            </w:pPr>
            <w:r>
              <w:rPr>
                <w:rFonts w:ascii="Consolas" w:cs="Consolas" w:eastAsia="Consolas" w:hAnsi="Consolas"/>
                <w:sz w:val="16"/>
                <w:szCs w:val="16"/>
              </w:rPr>
              <w:t xml:space="preserve">all 7 scenario blocks.</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No audit step caught this.</w:t>
            </w:r>
          </w:p>
        </w:tc>
      </w:tr>
    </w:tbl>
    <w:p>
      <w:r>
        <w:br w:type="page"/>
      </w:r>
    </w:p>
    <w:p>
      <w:pPr>
        <w:pStyle w:val="Heading1"/>
      </w:pPr>
      <w:r>
        <w:t xml:space="preserve">Summary</w:t>
      </w:r>
    </w:p>
    <w:p>
      <w:pPr>
        <w:spacing w:after="120" w:before="0"/>
      </w:pPr>
      <w:r>
        <w:rPr>
          <w:b w:val="false"/>
          <w:bCs w:val="false"/>
          <w:i w:val="false"/>
          <w:iCs w:val="false"/>
        </w:rPr>
        <w:t xml:space="preserve">The 15 issues identified in IDP's analysis represent a combination of methodological choices, modeling structure decisions, and outright formula bugs. The cumulative impact is to transform what should be a clear $5.5M NPV opportunity into a 'roughly break-even' analysis that recommends against appealing.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4360"/>
      </w:tblGrid>
      <w:tr>
        <w:tc>
          <w:tcPr>
            <w:tcW w:type="dxa" w:w="8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Error #</w:t>
            </w:r>
          </w:p>
        </w:tc>
        <w:tc>
          <w:tcPr>
            <w:tcW w:type="dxa" w:w="30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Category</w:t>
            </w:r>
          </w:p>
        </w:tc>
        <w:tc>
          <w:tcPr>
            <w:tcW w:type="dxa" w:w="12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Tier</w:t>
            </w:r>
          </w:p>
        </w:tc>
        <w:tc>
          <w:tcPr>
            <w:tcW w:type="dxa" w:w="43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center"/>
            </w:pPr>
            <w:r>
              <w:rPr>
                <w:b/>
                <w:bCs/>
                <w:color w:val="FFFFFF"/>
                <w:sz w:val="20"/>
                <w:szCs w:val="20"/>
              </w:rPr>
              <w:t xml:space="preserve">Single-Issue Impact (rough)</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10-year horizon truncation</w:t>
            </w:r>
          </w:p>
        </w:tc>
        <w:tc>
          <w:tcPr>
            <w:tcW w:type="dxa" w:w="12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b/>
                <w:bCs/>
                <w:i w:val="false"/>
                <w:iCs w:val="false"/>
                <w:sz w:val="18"/>
                <w:szCs w:val="18"/>
              </w:rPr>
              <w:t xml:space="preserve">TIER 1</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+$207K nominal / +$62K NPV</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Attorney fee applied every year</w:t>
            </w:r>
          </w:p>
        </w:tc>
        <w:tc>
          <w:tcPr>
            <w:tcW w:type="dxa" w:w="12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b/>
                <w:bCs/>
                <w:i w:val="false"/>
                <w:iCs w:val="false"/>
                <w:sz w:val="18"/>
                <w:szCs w:val="18"/>
              </w:rPr>
              <w:t xml:space="preserve">TIER 1</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+$315K nominal / +$210K NPV</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8% discount rate</w:t>
            </w:r>
          </w:p>
        </w:tc>
        <w:tc>
          <w:tcPr>
            <w:tcW w:type="dxa" w:w="12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b/>
                <w:bCs/>
                <w:i w:val="false"/>
                <w:iCs w:val="false"/>
                <w:sz w:val="18"/>
                <w:szCs w:val="18"/>
              </w:rPr>
              <w:t xml:space="preserve">TIER 1</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+$1.0M+ NPV at 5%</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ONTC set to zero</w:t>
            </w:r>
          </w:p>
        </w:tc>
        <w:tc>
          <w:tcPr>
            <w:tcW w:type="dxa" w:w="12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b/>
                <w:bCs/>
                <w:i w:val="false"/>
                <w:iCs w:val="false"/>
                <w:sz w:val="18"/>
                <w:szCs w:val="18"/>
              </w:rPr>
              <w:t xml:space="preserve">TIER 1</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+$600K nominal cumulative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DevShare double-count with admin</w:t>
            </w:r>
          </w:p>
        </w:tc>
        <w:tc>
          <w:tcPr>
            <w:tcW w:type="dxa" w:w="12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b/>
                <w:bCs/>
                <w:i w:val="false"/>
                <w:iCs w:val="false"/>
                <w:sz w:val="18"/>
                <w:szCs w:val="18"/>
              </w:rPr>
              <w:t xml:space="preserve">TIER 1</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+$800K nominal cumulative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6</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MAA Floor scenario not tested</w:t>
            </w:r>
          </w:p>
        </w:tc>
        <w:tc>
          <w:tcPr>
            <w:tcW w:type="dxa" w:w="12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b/>
                <w:bCs/>
                <w:i w:val="false"/>
                <w:iCs w:val="false"/>
                <w:sz w:val="18"/>
                <w:szCs w:val="18"/>
              </w:rPr>
              <w:t xml:space="preserve">TIER 1</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Largest scenario missing</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7</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Wrong starting TMV (2025 vs 2026)</w:t>
            </w:r>
          </w:p>
        </w:tc>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b/>
                <w:bCs/>
                <w:i w:val="false"/>
                <w:iCs w:val="false"/>
                <w:sz w:val="18"/>
                <w:szCs w:val="18"/>
              </w:rPr>
              <w:t xml:space="preserve">TIER 2</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+$2.7M baseline overstatement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8</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TIF reduction framed as 1:1 cost</w:t>
            </w:r>
          </w:p>
        </w:tc>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b/>
                <w:bCs/>
                <w:i w:val="false"/>
                <w:iCs w:val="false"/>
                <w:sz w:val="18"/>
                <w:szCs w:val="18"/>
              </w:rPr>
              <w:t xml:space="preserve">TIER 2</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Misframes net flow</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9</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Wrong sensitivity axis</w:t>
            </w:r>
          </w:p>
        </w:tc>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b/>
                <w:bCs/>
                <w:i w:val="false"/>
                <w:iCs w:val="false"/>
                <w:sz w:val="18"/>
                <w:szCs w:val="18"/>
              </w:rPr>
              <w:t xml:space="preserve">TIER 2</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Tests wrong decision variable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10</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Cherry-picked TMV growth</w:t>
            </w:r>
          </w:p>
        </w:tc>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b/>
                <w:bCs/>
                <w:i w:val="false"/>
                <w:iCs w:val="false"/>
                <w:sz w:val="18"/>
                <w:szCs w:val="18"/>
              </w:rPr>
              <w:t xml:space="preserve">TIER 2</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Tilts toward 'no risk' look</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11</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Misrepresents legal constraints</w:t>
            </w:r>
          </w:p>
        </w:tc>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b/>
                <w:bCs/>
                <w:i w:val="false"/>
                <w:iCs w:val="false"/>
                <w:sz w:val="18"/>
                <w:szCs w:val="18"/>
              </w:rPr>
              <w:t xml:space="preserve">TIER 2</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Discourages aggressive appeal</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12</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MIN() against header cell</w:t>
            </w:r>
          </w:p>
        </w:tc>
        <w:tc>
          <w:tcPr>
            <w:tcW w:type="dxa" w:w="12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center"/>
            </w:pPr>
            <w:r>
              <w:rPr>
                <w:b/>
                <w:bCs/>
                <w:i w:val="false"/>
                <w:iCs w:val="false"/>
                <w:sz w:val="18"/>
                <w:szCs w:val="18"/>
              </w:rPr>
              <w:t xml:space="preserve">TIER 3</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Silent but indicative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13</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Off-by-one TIF No Appeal</w:t>
            </w:r>
          </w:p>
        </w:tc>
        <w:tc>
          <w:tcPr>
            <w:tcW w:type="dxa" w:w="12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center"/>
            </w:pPr>
            <w:r>
              <w:rPr>
                <w:b/>
                <w:bCs/>
                <w:i w:val="false"/>
                <w:iCs w:val="false"/>
                <w:sz w:val="18"/>
                <w:szCs w:val="18"/>
              </w:rPr>
              <w:t xml:space="preserve">TIER 3</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Compounded TIF understatement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i w:val="false"/>
                <w:iCs w:val="false"/>
                <w:sz w:val="18"/>
                <w:szCs w:val="18"/>
              </w:rPr>
              <w:t xml:space="preserve">14</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TIF Appeal column flat (copies prior)</w:t>
            </w:r>
          </w:p>
        </w:tc>
        <w:tc>
          <w:tcPr>
            <w:tcW w:type="dxa" w:w="12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center"/>
            </w:pPr>
            <w:r>
              <w:rPr>
                <w:b/>
                <w:bCs/>
                <w:i w:val="false"/>
                <w:iCs w:val="false"/>
                <w:sz w:val="18"/>
                <w:szCs w:val="18"/>
              </w:rPr>
              <w:t xml:space="preserve">TIER 3</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i w:val="false"/>
                <w:iCs w:val="false"/>
                <w:sz w:val="18"/>
                <w:szCs w:val="18"/>
              </w:rPr>
              <w:t xml:space="preserve">Appeal TIF doesn't grow at all</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bCs/>
                <w:i w:val="false"/>
                <w:iCs w:val="false"/>
                <w:sz w:val="18"/>
                <w:szCs w:val="18"/>
              </w:rPr>
              <w:t xml:space="preserve">15</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Sensitivity Year-6 off-by-one ×7</w:t>
            </w:r>
          </w:p>
        </w:tc>
        <w:tc>
          <w:tcPr>
            <w:tcW w:type="dxa" w:w="12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center"/>
            </w:pPr>
            <w:r>
              <w:rPr>
                <w:b/>
                <w:bCs/>
                <w:i w:val="false"/>
                <w:iCs w:val="false"/>
                <w:sz w:val="18"/>
                <w:szCs w:val="18"/>
              </w:rPr>
              <w:t xml:space="preserve">TIER 3</w:t>
            </w:r>
          </w:p>
        </w:tc>
        <w:tc>
          <w:tcPr>
            <w:tcW w:type="dxa" w:w="4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18"/>
                <w:szCs w:val="18"/>
              </w:rPr>
              <w:t xml:space="preserve">Replicated bug across 7 scenarios</w:t>
            </w:r>
          </w:p>
        </w:tc>
      </w:tr>
    </w:tbl>
    <w:p>
      <w:pPr>
        <w:spacing w:after="120" w:before="0"/>
      </w:pPr>
      <w:r>
        <w:rPr>
          <w:b w:val="false"/>
          <w:bCs w:val="false"/>
          <w:i w:val="false"/>
          <w:iCs w:val="false"/>
        </w:rPr>
        <w:t xml:space="preserve"/>
      </w:r>
    </w:p>
    <w:p>
      <w:pPr>
        <w:pStyle w:val="Heading3"/>
      </w:pPr>
      <w:r>
        <w:t xml:space="preserve">The Pattern</w:t>
      </w:r>
    </w:p>
    <w:p>
      <w:pPr>
        <w:spacing w:after="120" w:before="0"/>
      </w:pPr>
      <w:r>
        <w:rPr>
          <w:b w:val="false"/>
          <w:bCs w:val="false"/>
          <w:i w:val="false"/>
          <w:iCs w:val="false"/>
        </w:rPr>
        <w:t xml:space="preserve">We note again that all 15 errors bias the analysis in the same direction (against appealing). The probability of 15 independent errors all pointing the same way by chance is approximately 1 in 32,768 (2^15). This invites the question of whether the analysis reflects:</w:t>
      </w:r>
    </w:p>
    <w:p>
      <w:pPr>
        <w:pStyle w:val="ListParagraph"/>
        <w:numPr>
          <w:ilvl w:val="0"/>
          <w:numId w:val="2"/>
        </w:numPr>
        <w:spacing w:after="60" w:before="60"/>
      </w:pPr>
      <w:r>
        <w:rPr>
          <w:b w:val="false"/>
          <w:bCs w:val="false"/>
          <w:i w:val="false"/>
          <w:iCs w:val="false"/>
        </w:rPr>
        <w:t xml:space="preserve">A genuine methodological belief held by IDP, in which case those beliefs should be examined on the merits.</w:t>
      </w:r>
    </w:p>
    <w:p>
      <w:pPr>
        <w:pStyle w:val="ListParagraph"/>
        <w:numPr>
          <w:ilvl w:val="0"/>
          <w:numId w:val="2"/>
        </w:numPr>
        <w:spacing w:after="60" w:before="60"/>
      </w:pPr>
      <w:r>
        <w:rPr>
          <w:b w:val="false"/>
          <w:bCs w:val="false"/>
          <w:i w:val="false"/>
          <w:iCs w:val="false"/>
        </w:rPr>
        <w:t xml:space="preserve">An unaudited model that was not subjected to standard quality control, in which case the conclusions should be set aside until the model is corrected.</w:t>
      </w:r>
    </w:p>
    <w:p>
      <w:pPr>
        <w:pStyle w:val="ListParagraph"/>
        <w:numPr>
          <w:ilvl w:val="0"/>
          <w:numId w:val="2"/>
        </w:numPr>
        <w:spacing w:after="60" w:before="60"/>
      </w:pPr>
      <w:r>
        <w:rPr>
          <w:b w:val="false"/>
          <w:bCs w:val="false"/>
          <w:i w:val="false"/>
          <w:iCs w:val="false"/>
        </w:rPr>
        <w:t xml:space="preserve">A motivated analysis built backward from a desired conclusion, in which case the underlying decision rationale should be discussed openly.</w:t>
      </w:r>
    </w:p>
    <w:p>
      <w:pPr>
        <w:spacing w:after="120" w:before="0"/>
      </w:pPr>
      <w:r>
        <w:rPr>
          <w:b w:val="false"/>
          <w:bCs w:val="false"/>
          <w:i w:val="false"/>
          <w:iCs w:val="false"/>
        </w:rPr>
        <w:t xml:space="preserve"/>
      </w:r>
    </w:p>
    <w:p>
      <w:pPr>
        <w:spacing w:after="240" w:before="0"/>
      </w:pPr>
      <w:r>
        <w:rPr>
          <w:b w:val="false"/>
          <w:bCs w:val="false"/>
          <w:i/>
          <w:iCs/>
        </w:rPr>
        <w:t xml:space="preserve">Discussion of which of these explanations is most likely is outside the scope of this technical addendum. KA's recommended path is to request Ehlers' independent review of both models to resolve the technical disagreement objectively.</w:t>
      </w:r>
    </w:p>
    <w:p>
      <w:pPr>
        <w:spacing w:after="120" w:before="0"/>
        <w:jc w:val="center"/>
      </w:pPr>
      <w:r>
        <w:rPr>
          <w:b w:val="false"/>
          <w:bCs w:val="false"/>
          <w:i/>
          <w:iCs/>
        </w:rPr>
        <w:t xml:space="preserve">End of Addendum 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Addendum A — Forensic Review of IDP Analysis  |  </w:t>
    </w:r>
    <w:r>
      <w:rPr>
        <w:b/>
        <w:bCs/>
        <w:color w:val="C00000"/>
        <w:sz w:val="16"/>
        <w:szCs w:val="16"/>
      </w:rPr>
      <w:t xml:space="preserve">PRIVILEGED &amp; CONFIDENTIAL — INTERNAL USE ONLY</w:t>
    </w:r>
    <w:r>
      <w:rPr>
        <w:color w:val="808080"/>
        <w:sz w:val="16"/>
        <w:szCs w:val="16"/>
      </w:rPr>
      <w:t xml:space="preserve">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4" w:space="4"/>
      </w:pBdr>
      <w:jc w:val="left"/>
    </w:pPr>
    <w:r>
      <w:rPr>
        <w:b/>
        <w:bCs/>
        <w:color w:val="1F4E78"/>
        <w:sz w:val="18"/>
        <w:szCs w:val="18"/>
      </w:rPr>
      <w:t xml:space="preserve">CHAMBERLAIN APARTMENTS  </w:t>
    </w:r>
    <w:r>
      <w:rPr>
        <w:color w:val="808080"/>
        <w:sz w:val="16"/>
        <w:szCs w:val="16"/>
      </w:rPr>
      <w:t xml:space="preserve"> |  Kraus-Anderson Asset Management  |  Addendum A — Forensic Review of IDP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Error #%1."/>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8"/>
      <w:sz w:val="23"/>
      <w:szCs w:val="23"/>
    </w:rPr>
  </w:style>
  <w:style w:type="paragraph" w:styleId="Heading4">
    <w:name w:val="Heading 4"/>
    <w:basedOn w:val="Normal"/>
    <w:next w:val="Normal"/>
    <w:qFormat/>
    <w:pPr>
      <w:spacing w:after="6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2026-05-12T23:13:06.512Z</dcterms:created>
  <dcterms:modified xsi:type="dcterms:W3CDTF">2026-05-12T23:13:06.512Z</dcterms:modified>
</cp:coreProperties>
</file>

<file path=docProps/custom.xml><?xml version="1.0" encoding="utf-8"?>
<Properties xmlns="http://schemas.openxmlformats.org/officeDocument/2006/custom-properties" xmlns:vt="http://schemas.openxmlformats.org/officeDocument/2006/docPropsVTypes"/>
</file>