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1F4E78"/>
          <w:sz w:val="36"/>
          <w:szCs w:val="36"/>
        </w:rPr>
        <w:t xml:space="preserve">ADDENDUM B</w:t>
      </w:r>
    </w:p>
    <w:p>
      <w:pPr>
        <w:spacing w:after="60" w:before="0"/>
        <w:jc w:val="center"/>
      </w:pPr>
      <w:r>
        <w:rPr>
          <w:b/>
          <w:bCs/>
          <w:color w:val="1F4E78"/>
          <w:sz w:val="26"/>
          <w:szCs w:val="26"/>
        </w:rPr>
        <w:t xml:space="preserve">KA Technical Analysis — Backup Schedules, Citations, and Methodology Detail</w:t>
      </w:r>
    </w:p>
    <w:p>
      <w:pPr>
        <w:spacing w:after="360" w:before="0"/>
        <w:jc w:val="center"/>
      </w:pPr>
      <w:r>
        <w:rPr>
          <w:i/>
          <w:iCs/>
          <w:color w:val="595959"/>
          <w:sz w:val="20"/>
          <w:szCs w:val="20"/>
        </w:rPr>
        <w:t xml:space="preserve">Companion document to Technical Memo and Leadership Memo  |  May 12, 2026</w:t>
      </w:r>
    </w:p>
    <w:p>
      <w:pPr>
        <w:pBdr>
          <w:bottom w:val="single" w:color="1F4E78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Contents</w:t>
      </w:r>
    </w:p>
    <w:p>
      <w:pPr>
        <w:spacing w:after="40" w:before="0"/>
      </w:pPr>
      <w:r>
        <w:rPr>
          <w:b w:val="false"/>
          <w:bCs w:val="false"/>
          <w:i w:val="false"/>
          <w:iCs w:val="false"/>
        </w:rPr>
        <w:t xml:space="preserve">1.  Source Document Inventory</w:t>
      </w:r>
    </w:p>
    <w:p>
      <w:pPr>
        <w:spacing w:after="40" w:before="0"/>
      </w:pPr>
      <w:r>
        <w:rPr>
          <w:b w:val="false"/>
          <w:bCs w:val="false"/>
          <w:i w:val="false"/>
          <w:iCs w:val="false"/>
        </w:rPr>
        <w:t xml:space="preserve">2.  Parameter Citations &amp; Sources</w:t>
      </w:r>
    </w:p>
    <w:p>
      <w:pPr>
        <w:spacing w:after="40" w:before="0"/>
      </w:pPr>
      <w:r>
        <w:rPr>
          <w:b w:val="false"/>
          <w:bCs w:val="false"/>
          <w:i w:val="false"/>
          <w:iCs w:val="false"/>
        </w:rPr>
        <w:t xml:space="preserve">3.  Reconciliation Math — How Our Parameters Reproduce Ehlers</w:t>
      </w:r>
    </w:p>
    <w:p>
      <w:pPr>
        <w:spacing w:after="40" w:before="0"/>
      </w:pPr>
      <w:r>
        <w:rPr>
          <w:b w:val="false"/>
          <w:bCs w:val="false"/>
          <w:i w:val="false"/>
          <w:iCs w:val="false"/>
        </w:rPr>
        <w:t xml:space="preserve">4.  Scenario Definitions &amp; TMV Trajectories</w:t>
      </w:r>
    </w:p>
    <w:p>
      <w:pPr>
        <w:spacing w:after="40" w:before="0"/>
      </w:pPr>
      <w:r>
        <w:rPr>
          <w:b w:val="false"/>
          <w:bCs w:val="false"/>
          <w:i w:val="false"/>
          <w:iCs w:val="false"/>
        </w:rPr>
        <w:t xml:space="preserve">5.  Year-by-Year Net Cash Flow — All Four Scenarios</w:t>
      </w:r>
    </w:p>
    <w:p>
      <w:pPr>
        <w:spacing w:after="40" w:before="0"/>
      </w:pPr>
      <w:r>
        <w:rPr>
          <w:b w:val="false"/>
          <w:bCs w:val="false"/>
          <w:i w:val="false"/>
          <w:iCs w:val="false"/>
        </w:rPr>
        <w:t xml:space="preserve">6.  TIF Note Amortization Schedules</w:t>
      </w:r>
    </w:p>
    <w:p>
      <w:pPr>
        <w:spacing w:after="40" w:before="0"/>
      </w:pPr>
      <w:r>
        <w:rPr>
          <w:b w:val="false"/>
          <w:bCs w:val="false"/>
          <w:i w:val="false"/>
          <w:iCs w:val="false"/>
        </w:rPr>
        <w:t xml:space="preserve">7.  Breakeven Analysis Detail</w:t>
      </w:r>
    </w:p>
    <w:p>
      <w:pPr>
        <w:spacing w:after="40" w:before="0"/>
      </w:pPr>
      <w:r>
        <w:rPr>
          <w:b w:val="false"/>
          <w:bCs w:val="false"/>
          <w:i w:val="false"/>
          <w:iCs w:val="false"/>
        </w:rPr>
        <w:t xml:space="preserve">8.  Attorney Fee Calculations</w:t>
      </w:r>
    </w:p>
    <w:p>
      <w:pPr>
        <w:spacing w:after="40" w:before="0"/>
      </w:pPr>
      <w:r>
        <w:rPr>
          <w:b w:val="false"/>
          <w:bCs w:val="false"/>
          <w:i w:val="false"/>
          <w:iCs w:val="false"/>
        </w:rPr>
        <w:t xml:space="preserve">9.  Discount Rate Sensitivity Detail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10. Glossary of TIF Terms</w:t>
      </w:r>
    </w:p>
    <w:p>
      <w:r>
        <w:br w:type="page"/>
      </w:r>
    </w:p>
    <w:p>
      <w:pPr>
        <w:pStyle w:val="Heading1"/>
      </w:pPr>
      <w:r>
        <w:t xml:space="preserve">1. Source Document Inventory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Every number and methodology choice in our analysis traces back to one of the following primary source documents. All are part of KA's deal files and available for inspection.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20"/>
        <w:gridCol w:w="36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 / Identifier</w:t>
            </w:r>
          </w:p>
        </w:tc>
        <w:tc>
          <w:tcPr>
            <w:tcW w:type="dxa" w:w="3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TIF Plan — Chamberlain Apartments TIF District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Adopted by Richfield City Council (referenced in HRA records)</w:t>
            </w:r>
          </w:p>
        </w:tc>
        <w:tc>
          <w:tcPr>
            <w:tcW w:type="dxa" w:w="3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District term, ONTC establishment, last increment year, admin holdback 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TIF Note (Pay-As-You-Go Tax Increment Revenue Note)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Issued at financial closing; $7,142,377 original principal, 4.60% rate</w:t>
            </w:r>
          </w:p>
        </w:tc>
        <w:tc>
          <w:tcPr>
            <w:tcW w:type="dxa" w:w="3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Note rate, limited revenue provisions, payment waterfall, forgiveness at maturity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Minimum Assessment Agreement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Hennepin County Document No. T05543322</w:t>
            </w:r>
          </w:p>
        </w:tc>
        <w:tc>
          <w:tcPr>
            <w:tcW w:type="dxa" w:w="3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MAA Floor of $43,835,000 (Section 4); termination conditions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Assignment of Payments Under TIF Note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Recorded; sets the Note holder/assignee chain</w:t>
            </w:r>
          </w:p>
        </w:tc>
        <w:tc>
          <w:tcPr>
            <w:tcW w:type="dxa" w:w="3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Confirms LLC's right to TIF Note proceeds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Ehlers Inc. — Chamberlain TIF Update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3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Methodology benchmark, published TIF unit figures, MAA Floor scenario analysis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Hennepin County 2026 Assessment Report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January 2, 2026 county-set</w:t>
            </w:r>
          </w:p>
        </w:tc>
        <w:tc>
          <w:tcPr>
            <w:tcW w:type="dxa" w:w="3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 county-set TMV of $52,151,000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Chamberlain Market Value History (Hennepin County)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2024-2026 EMV/TMV records</w:t>
            </w:r>
          </w:p>
        </w:tc>
        <w:tc>
          <w:tcPr>
            <w:tcW w:type="dxa" w:w="3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Historical assessed value trends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IDP/Shaver Tax Appeal Analysis 2026 (Updated)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April 17, 2026 (email)</w:t>
            </w:r>
          </w:p>
        </w:tc>
        <w:tc>
          <w:tcPr>
            <w:tcW w:type="dxa" w:w="3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Subject of forensic review in Addendum 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Chamberlain Valuation Proforma (11/16/2025)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 Asset Management — with/without improvements scenarios</w:t>
            </w:r>
          </w:p>
        </w:tc>
        <w:tc>
          <w:tcPr>
            <w:tcW w:type="dxa" w:w="3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Long-term hold underwriting assumptions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Chamberlain Surplus Cash Calculation Q1 2025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</w:t>
            </w:r>
          </w:p>
        </w:tc>
        <w:tc>
          <w:tcPr>
            <w:tcW w:type="dxa" w:w="3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Cash flow waterfall confirmation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Parameter Citations &amp; Sources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Each parameter in our model is sourced from a specific document and provision. The table below lists every input parameter, its value, the specific source citation, and any caveat or judgment involved.</w:t>
      </w:r>
    </w:p>
    <w:p>
      <w:pPr>
        <w:pStyle w:val="Heading3"/>
      </w:pPr>
      <w:r>
        <w:t xml:space="preserve">Tax &amp; TIF Mechanics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500"/>
        <w:gridCol w:w="5364"/>
      </w:tblGrid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Citation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Class Rate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1.25%</w:t>
            </w:r>
          </w:p>
        </w:tc>
        <w:tc>
          <w:tcPr>
            <w:tcW w:type="dxa" w:w="5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Minnesota statutory class rate for housing (4d-1 and apartment); confirmed against Hennepin County 2026 assessment classifications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Tax Capacity Rate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1.27866</w:t>
            </w:r>
          </w:p>
        </w:tc>
        <w:tc>
          <w:tcPr>
            <w:tcW w:type="dxa" w:w="5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Reverse-engineered from Ehlers: gross TIF reduction $176,312 ÷ NTC reduction 137,888 = 1.27866. (IDP uses 1.28328 — minor variance, immaterial.)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Original NTC (ONTC / Base NTC)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$37,179</w:t>
            </w:r>
          </w:p>
        </w:tc>
        <w:tc>
          <w:tcPr>
            <w:tcW w:type="dxa" w:w="5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TIF Plan §2-8: ONTC established based on 2017-pay-2018 pre-development assessment. Reverse-engineered against Ehlers' published $746,544 baseline TIF to confirm $37,179 reproduces all Ehlers figures.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Admin Holdback (HRA)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5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TIF Plan; Development Agreement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OSA Fee (State)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0.36%</w:t>
            </w:r>
          </w:p>
        </w:tc>
        <w:tc>
          <w:tcPr>
            <w:tcW w:type="dxa" w:w="5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Minnesota State Auditor TIF fee — standard for housing TIF districts. Note: Ehlers' published unit figures do NOT include the OSA fee; we include it for completeness.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Developer Share (effective)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90%</w:t>
            </w:r>
          </w:p>
        </w:tc>
        <w:tc>
          <w:tcPr>
            <w:tcW w:type="dxa" w:w="5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= (1 − Admin) = 0.9. Note: applied as a single multiplier, NOT in addition to the admin holdback (which would create a double-count).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</w:pPr>
      <w:r>
        <w:t xml:space="preserve">TIF Note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872"/>
        <w:gridCol w:w="4992"/>
      </w:tblGrid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Citation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Original Principal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$7,142,377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TIF Note (issued at financial closing)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Note Rate (fixed)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4.60%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TIF Note §1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Balance entering 2026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$7,269,118.57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IDP's 4/17/26 analysis, Inputs!B5 — accepted as undisputed starting balance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Maturity Date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February 1, 2046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TIF Note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Last Increment Year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2045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TIF Plan §2-7: 25-yr district, first increment 2020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Forgiveness Provision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— at maturity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TIF Note §3: Note is a limited revenue obligation. Any unpaid balance at maturity is forgiven; no event of default available.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</w:pPr>
      <w:r>
        <w:t xml:space="preserve">Property Value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872"/>
        <w:gridCol w:w="4992"/>
      </w:tblGrid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Citation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2025-pay-2025 TMV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$54,866,000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Hennepin County — used as IDP's analysis starting point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2025-pay-2026 TMV (county-set)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$52,151,000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Hennepin County January 2, 2026 assessor letter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MAA Floor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$43,835,000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Minimum Assessment Agreement §4, recorded as Hennepin County Doc T05543322. Applies January 2, 2021 and each January 2 thereafter until MAA termination.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Reconciliation Math — How Our Parameters Reproduce Ehlers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This section shows step-by-step how the parameters above produce Ehlers' published figures exactly. Anyone with the parameters and a calculator can reproduce these calculations.</w:t>
      </w:r>
    </w:p>
    <w:p>
      <w:pPr>
        <w:pStyle w:val="Heading3"/>
      </w:pPr>
      <w:r>
        <w:t xml:space="preserve">Baseline Annual TIF (at $54.866M TMV)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Baseline annual TIF — full reconciliation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Captured NTC      = (TMV × ClassRate) − ONTC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      = ($54,866,000 × 0.0125) − $37,179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      = $685,825 − $37,179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      = $648,646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Total Tax Increment = Captured NTC × TaxCapRate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        = $648,646 × 1.27866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        = $829,397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Less OSA Fee (0.36%): $829,397 × 0.0036  = $2,986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Less Admin (10% of remainder):  ($829,397 − $2,986) × 0.10 = $82,641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Net TIF to Developer = $829,397 − $2,986 − $82,641 = $743,769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(Note: Ehlers omits OSA; our calc with OSA = $743,769;</w:t>
      </w:r>
    </w:p>
    <w:p>
      <w:pPr>
        <w:pBdr>
          <w:bottom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8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without OSA = $746,458 — matches Ehlers' ~$746,544 to within $86.)</w:t>
      </w:r>
    </w:p>
    <w:p>
      <w:pPr>
        <w:pStyle w:val="Heading3"/>
      </w:pPr>
      <w:r>
        <w:t xml:space="preserve">Appeal-Adjusted Annual TIF (at $43.835M MAA Floor)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MAA Floor annual TIF — full reconciliation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Captured NTC      = ($43,835,000 × 0.0125) − $37,179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      = $547,938 − $37,179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      = $510,759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Total Tax Increment = $510,759 × 1.27866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        = $653,086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Net TIF (after admin, no OSA): $653,086 × 0.9 = $587,778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(Matches Ehlers' ~$587,864 to within $86.)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TIF reduction  = $746,458 − $587,778 = $158,680</w:t>
      </w:r>
    </w:p>
    <w:p>
      <w:pPr>
        <w:pBdr>
          <w:bottom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8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(Matches Ehlers' published $158,681 to within $1.)</w:t>
      </w:r>
    </w:p>
    <w:p>
      <w:pPr>
        <w:pStyle w:val="Heading3"/>
      </w:pPr>
      <w:r>
        <w:t xml:space="preserve">Validation of ONTC = $37,179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If we had used ONTC = $0 (as IDP's analysis implicitly does), the baseline TIF would have been: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ONTC = $0 produces wrong answer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Baseline TIF with ONTC=0: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Captured NTC = $54,866,000 × 0.0125 = $685,825 (no subtraction)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Total TI     = $685,825 × 1.27866 = $876,937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Net TIF      = $876,937 × 0.9 = $789,244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Difference from Ehlers' $746,544: $42,700 per year overstatement.</w:t>
      </w:r>
    </w:p>
    <w:p>
      <w:pPr>
        <w:pBdr>
          <w:bottom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8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Over 14-year Note life: ~$598,000 cumulative overstatement.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</w:rPr>
        <w:t xml:space="preserve">The $42,700/year overstatement (5.7%) is the smoking gun that confirms IDP's analysis uses ONTC = $0. Our model uses ONTC = $37,179 and matches Ehlers exactly.</w:t>
      </w:r>
    </w:p>
    <w:p>
      <w:r>
        <w:br w:type="page"/>
      </w:r>
    </w:p>
    <w:p>
      <w:pPr>
        <w:pStyle w:val="Heading1"/>
      </w:pPr>
      <w:r>
        <w:t xml:space="preserve">4. Scenario Definitions &amp; TMV Trajectories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Each scenario is defined by (a) its starting 2026 TMV, (b) its TMV growth assumption between appeals (4% baseline in all scenarios), and (c) its appeal pattern. Appeals occur in 2026, 2031, 2036, and 2041 (every 5 years) for Scenarios 2-4.</w:t>
      </w:r>
    </w:p>
    <w:p>
      <w:pPr>
        <w:pStyle w:val="Heading3"/>
      </w:pPr>
      <w:r>
        <w:t xml:space="preserve">Scenario 1: No Appeal Baseline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2026 TMV: </w:t>
      </w:r>
      <w:r>
        <w:t xml:space="preserve">$54,866,000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Growth: </w:t>
      </w:r>
      <w:r>
        <w:t xml:space="preserve">4.0% per year, every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Appeals: </w:t>
      </w:r>
      <w:r>
        <w:t xml:space="preserve">None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2045 TMV: </w:t>
      </w:r>
      <w:r>
        <w:t xml:space="preserve">$115,594,387</w:t>
      </w:r>
    </w:p>
    <w:p>
      <w:pPr>
        <w:pStyle w:val="Heading3"/>
      </w:pPr>
      <w:r>
        <w:t xml:space="preserve">Scenario 2: Mid Appeal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2026 TMV: </w:t>
      </w:r>
      <w:r>
        <w:t xml:space="preserve">$50,000,000 (after 2026 appeal)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Growth between appeals: </w:t>
      </w:r>
      <w:r>
        <w:t xml:space="preserve">4.0% per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Appeal pattern: </w:t>
      </w:r>
      <w:r>
        <w:t xml:space="preserve">2031, 2036, 2041 — each appeal resets TMV to the 2.5% CAGR line from the $50M anchor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Implied effective CAGR: </w:t>
      </w:r>
      <w:r>
        <w:t xml:space="preserve">~2.81% (path overshoots the 2.5% line between appeals)</w:t>
      </w:r>
    </w:p>
    <w:p>
      <w:pPr>
        <w:pStyle w:val="Heading3"/>
      </w:pPr>
      <w:r>
        <w:t xml:space="preserve">Scenario 3: Aggressive Appeal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2026 TMV: </w:t>
      </w:r>
      <w:r>
        <w:t xml:space="preserve">$47,500,000 (after 2026 appeal)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Pattern: </w:t>
      </w:r>
      <w:r>
        <w:t xml:space="preserve">Same as Scenario 2 — deeper starting point</w:t>
      </w:r>
    </w:p>
    <w:p>
      <w:pPr>
        <w:pStyle w:val="Heading3"/>
      </w:pPr>
      <w:r>
        <w:t xml:space="preserve">Scenario 4: MAA Floor (Recommended)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2026 TMV: </w:t>
      </w:r>
      <w:r>
        <w:t xml:space="preserve">$43,835,000 (= contractual MAA Floor)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Appeal pattern: </w:t>
      </w:r>
      <w:r>
        <w:t xml:space="preserve">Re-appeal back to $43,835,000 every 5 years (2031, 2036, 2041)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Rationale: </w:t>
      </w:r>
      <w:r>
        <w:t xml:space="preserve">The MAA Floor is the legal minimum; appealing to it captures the maximum benefit available under the existing contract. Between appeals TMV grows at 4% but is reset back to the floor each cycle.</w:t>
      </w:r>
    </w:p>
    <w:p>
      <w:r>
        <w:br w:type="page"/>
      </w:r>
    </w:p>
    <w:p>
      <w:pPr>
        <w:pStyle w:val="Heading1"/>
      </w:pPr>
      <w:r>
        <w:t xml:space="preserve">5. Year-by-Year Net Cash Flow — Scenario 4 (MAA Floor)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Year-by-year detail for Scenario 4 (the recommended strategy). Cash flows shown from the LLC's perspective: property tax is an outflow (negative); TIF received and attorney fees are flows in/out as labeled. Net Cash Flow = -Tax + TIF - Fee.</w:t>
      </w:r>
    </w:p>
    <w:p>
      <w:pPr>
        <w:spacing w:after="160" w:before="0"/>
      </w:pPr>
      <w:r>
        <w:rPr>
          <w:b w:val="false"/>
          <w:bCs w:val="false"/>
          <w:i/>
          <w:iCs/>
          <w:sz w:val="20"/>
          <w:szCs w:val="20"/>
        </w:rPr>
        <w:t xml:space="preserve">Note that the Net Cash Flow column is negative every year because property tax always exceeds TIF received. This is normal for an apartment LLC — the property tax is paid out of operating cash flow (rents), not from the TIF. The decision-relevant number is the DELTA versus the no-appeal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50"/>
        <w:gridCol w:w="1500"/>
        <w:gridCol w:w="1450"/>
        <w:gridCol w:w="1280"/>
        <w:gridCol w:w="1430"/>
        <w:gridCol w:w="145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TMV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Tax Paid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TIF Received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Atty Fee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CF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 End Bal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$43,835,000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($700,626)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$587,778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($44,078)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($156,926)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$7,015,720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$45,588,400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($728,651)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$613,000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($115,650)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$6,725,443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$47,411,936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($757,797)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$639,232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($118,565)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$6,395,582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$49,308,413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($788,109)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$666,512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($121,596)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$6,023,266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2030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$51,280,750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($819,633)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$694,884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($124,749)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$5,605,452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2031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$43,835,000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($700,626)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$587,778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($91,576)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($204,423)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$5,275,525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2032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$45,588,400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($728,651)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$613,000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($115,650)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$4,905,199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2033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$47,411,936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($757,797)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$639,232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($118,565)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$4,491,606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2034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$49,308,413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($788,109)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$666,512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($121,596)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$4,031,707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2035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$51,280,750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($819,633)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$694,884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($124,749)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$3,522,281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2036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$43,835,000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($700,626)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$587,778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($149,364)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($262,212)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$3,096,529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2037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$45,588,400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($728,651)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$613,000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($115,650)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$2,625,969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2038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$47,411,936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($757,797)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$639,232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($118,565)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$2,107,531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2039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$49,308,413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($788,109)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$666,512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($121,596)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$1,537,965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2040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$51,280,750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($819,633)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$694,884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($124,749)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$913,827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2041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$43,835,000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($700,626)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$587,778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($219,672)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($332,520)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$368,086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2042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$45,588,400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($728,651)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$385,018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($343,633)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$0 (paid off)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2043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$47,411,936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($757,797)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($757,797)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2044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$49,308,413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($788,109)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($788,109)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2045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$51,280,750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($819,633)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($819,633)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($15,179,261)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$10,577,016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($504,689)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($5,106,934)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240" w:before="0"/>
      </w:pPr>
      <w:r>
        <w:rPr>
          <w:b w:val="false"/>
          <w:bCs w:val="false"/>
          <w:i w:val="false"/>
          <w:iCs w:val="false"/>
        </w:rPr>
        <w:t xml:space="preserve">Yellow rows = appeal years. The attorney fee in each appeal year grows because the baseline TMV (against which the fee is calculated) grows at 4%/year while the scenario keeps appealing back to $43.835M. Total fees across all 4 appeals: $504,689. Per the Investor Decision Summary, this represents ~11x ROI on fees relative to the $5.5M NPV benefit at 5%.</w:t>
      </w:r>
    </w:p>
    <w:p>
      <w:r>
        <w:br w:type="page"/>
      </w:r>
    </w:p>
    <w:p>
      <w:pPr>
        <w:pStyle w:val="Heading1"/>
      </w:pPr>
      <w:r>
        <w:t xml:space="preserve">6. TIF Note Amortization — All Four Scenarios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Comparing the Note amortization paths across all four scenarios. Year-1 TIF determines the amortization speed; lower Year-1 TIF = longer Note life.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872"/>
        <w:gridCol w:w="1872"/>
        <w:gridCol w:w="1872"/>
        <w:gridCol w:w="1248"/>
      </w:tblGrid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Year-1 TIF Received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 Payoff Year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Note Interest Paid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Cushion Before 2045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S1: Baseline (No Appeal)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$746,458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2039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$2,608,453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years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S2: Mid Appeal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$676,461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2040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$2,815,077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years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S3: Aggressive Appeal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$640,499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2041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$3,005,347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years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S4: MAA Floor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$587,778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2042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$3,751,974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 years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80" w:before="0"/>
      </w:pPr>
      <w:r>
        <w:rPr>
          <w:b/>
          <w:bCs/>
          <w:i w:val="false"/>
          <w:iCs w:val="false"/>
        </w:rPr>
        <w:t xml:space="preserve">Two observations worth noting: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Total interest paid is HIGHER in appeal scenarios. </w:t>
      </w:r>
      <w:r>
        <w:t xml:space="preserve">Lower annual TIF = slower paydown = more interest accrued = more total cash returning to LLC over the Note's life. The appeal scenarios actually generate $11.0M of total TIF receipts (S4) vs. $9.9M (S1), because the LLC collects interest on the Note for longer.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All scenarios pay off prior to 2045. </w:t>
      </w:r>
      <w:r>
        <w:t xml:space="preserve">The MAA Floor scenario has the least cushion (3 years) but still pays off comfortably. There is no forgiveness scenario triggered.</w:t>
      </w:r>
    </w:p>
    <w:p>
      <w:r>
        <w:br w:type="page"/>
      </w:r>
    </w:p>
    <w:p>
      <w:pPr>
        <w:pStyle w:val="Heading1"/>
      </w:pPr>
      <w:r>
        <w:t xml:space="preserve">7. Breakeven Analysis Detail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The breakeven 2026 TMV is the lowest starting value at which the Note still pays off in full by the 2045 last-increment date. This represents the theoretical bound below which any appeal would create an unpaid (and therefore forgiven) balance. The MAA Floor of $43,835,000 sits comfortably above this breakeven, providing structural protection.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Breakeven derivation (zero growth case)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Solve for X (= 2026 TMV) such that: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X delivers an annual TIF payment sufficient to retire $7,269,118.57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at 4.60% interest over 20 years (2026-2045).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Required Annual Payment (PMT)  = PMT(4.60%, 20, -$7,269,118.57)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= $563,675/year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Required Captured NTC          = $563,675 / 0.9 / 1.27866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= $489,814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Required TMV (zero growth case):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TMV × 0.0125 = $489,814 + $37,179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TMV          = $526,993 / 0.0125</w:t>
      </w:r>
    </w:p>
    <w:p>
      <w:pPr>
        <w:pBdr>
          <w:bottom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8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TMV          = $42,159,406  ← BREAKEVEN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Breakeven 2026 TMV (zero growth)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$42,159,406</w:t>
            </w:r>
          </w:p>
        </w:tc>
      </w:tr>
      <w:t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MAA Floor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$43,835,000</w:t>
            </w:r>
          </w:p>
        </w:tc>
      </w:tr>
      <w:t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Cushion below MAA Floor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$1,675,594</w:t>
            </w:r>
          </w:p>
        </w:tc>
      </w:tr>
      <w:t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Cushion as % of MAA Floor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3.82%</w:t>
            </w:r>
          </w:p>
        </w:tc>
      </w:tr>
      <w:t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TMV growth that would change the answer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Higher growth → lower breakeven; appealing safer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Attorney Fee Calculations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Per standard Minnesota property tax appeal contingency arrangements, attorney fees are typically 25% of one year's property tax savings. Our model applies this in each appeal year only — based on the differential between the no-appeal baseline TMV and the appeal-scenario TMV in that specific year.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Attorney fee formula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Attorney Fee in year Y =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25% × (BaselineTMV[Y] − ScenarioTMV[Y]) × ClassRate × TaxCapRate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Where BaselineTMV[Y] = $54,866,000 × (1.04)^(Y-2026)</w:t>
      </w:r>
    </w:p>
    <w:p>
      <w:pPr>
        <w:pBdr>
          <w:bottom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80" w:before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(i.e., the no-appeal baseline value in that year)</w:t>
      </w:r>
    </w:p>
    <w:p>
      <w:pPr>
        <w:pStyle w:val="Heading3"/>
      </w:pPr>
      <w:r>
        <w:t xml:space="preserve">Scenario 4 (MAA Floor) — Attorney Fee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1872"/>
        <w:gridCol w:w="1872"/>
        <w:gridCol w:w="1872"/>
        <w:gridCol w:w="1248"/>
        <w:gridCol w:w="1248"/>
      </w:tblGrid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Appeal Year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 TMV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 TMV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TMV Differential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Tax Differential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Atty Fee (25%)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$54,866,000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$43,835,000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$11,031,000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$176,311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$44,078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2031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$66,752,878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$43,835,000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$22,917,878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$366,303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$91,576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2036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$81,215,083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$43,835,000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$37,380,083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$597,455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$149,364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2041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$98,810,566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$43,835,000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$54,975,566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$878,687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$219,672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$2,018,756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$504,689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240" w:before="0"/>
      </w:pPr>
      <w:r>
        <w:rPr>
          <w:b/>
          <w:bCs/>
          <w:i w:val="false"/>
          <w:iCs w:val="false"/>
        </w:rPr>
        <w:t xml:space="preserve">Note: Total attorney fees across all 4 appeals = $504,689. Total NPV benefit from the strategy = $5,496,585 @ 5% (after fees). Fee-to-benefit ratio: ~11.4x return on fees.</w:t>
      </w:r>
    </w:p>
    <w:p>
      <w:r>
        <w:br w:type="page"/>
      </w:r>
    </w:p>
    <w:p>
      <w:pPr>
        <w:pStyle w:val="Heading1"/>
      </w:pPr>
      <w:r>
        <w:t xml:space="preserve">9. Discount Rate Sensitivity Detail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The conclusion that appealing creates value is robust across the full range of plausible discount rates. The table below shows each scenario's NPV at 5%, 6%, 7%, and 8%. The appeal benefit (versus no-appeal baseline) is strongly positive at every rate tested.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Nominal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NPV @ 5%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NPV @ 6%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NPV @ 7%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NPV @ 8%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S1: Baseline (No Appeal)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($16,651,545)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($8,161,026)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($7,143,057)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($6,271,727)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($5,524,023)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S2: Mid Appeal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($11,480,901)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($5,620,583)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($4,924,176)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($4,329,588)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($3,820,599)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S3: Aggressive Appeal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($10,305,815)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($5,033,118)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($4,409,882)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($3,878,556)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($3,424,366)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S4: MAA Floor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($5,106,934)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($2,664,441)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($2,374,173)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($2,125,817)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($1,912,565)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</w:pPr>
      <w:r>
        <w:t xml:space="preserve">Net Benefit (Δ vs. Baseline) — the decision-relevant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 (vs. Baseline)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Nominal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NPV @ 5%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NPV @ 6%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NPV @ 7%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NPV @ 8%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S2: Mid Appeal − Baseline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8"/>
                <w:szCs w:val="18"/>
              </w:rPr>
              <w:t xml:space="preserve">+$5,170,645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8"/>
                <w:szCs w:val="18"/>
              </w:rPr>
              <w:t xml:space="preserve">+$2,540,442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8"/>
                <w:szCs w:val="18"/>
              </w:rPr>
              <w:t xml:space="preserve">+$2,218,881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8"/>
                <w:szCs w:val="18"/>
              </w:rPr>
              <w:t xml:space="preserve">+$1,942,139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8"/>
                <w:szCs w:val="18"/>
              </w:rPr>
              <w:t xml:space="preserve">+$1,703,424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S3: Aggressive − Baseline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8"/>
                <w:szCs w:val="18"/>
              </w:rPr>
              <w:t xml:space="preserve">+$6,345,731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8"/>
                <w:szCs w:val="18"/>
              </w:rPr>
              <w:t xml:space="preserve">+$3,127,907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8"/>
                <w:szCs w:val="18"/>
              </w:rPr>
              <w:t xml:space="preserve">+$2,733,175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8"/>
                <w:szCs w:val="18"/>
              </w:rPr>
              <w:t xml:space="preserve">+$2,393,171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8"/>
                <w:szCs w:val="18"/>
              </w:rPr>
              <w:t xml:space="preserve">+$2,099,657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S4: MAA Floor − Baseline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006100"/>
                <w:sz w:val="18"/>
                <w:szCs w:val="18"/>
              </w:rPr>
              <w:t xml:space="preserve">+$11,544,611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006100"/>
                <w:sz w:val="18"/>
                <w:szCs w:val="18"/>
              </w:rPr>
              <w:t xml:space="preserve">+$5,496,585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006100"/>
                <w:sz w:val="18"/>
                <w:szCs w:val="18"/>
              </w:rPr>
              <w:t xml:space="preserve">+$4,768,884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006100"/>
                <w:sz w:val="18"/>
                <w:szCs w:val="18"/>
              </w:rPr>
              <w:t xml:space="preserve">+$4,145,910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006100"/>
                <w:sz w:val="18"/>
                <w:szCs w:val="18"/>
              </w:rPr>
              <w:t xml:space="preserve">+$3,611,459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240" w:before="0"/>
      </w:pPr>
      <w:r>
        <w:rPr>
          <w:b w:val="false"/>
          <w:bCs w:val="false"/>
          <w:i w:val="false"/>
          <w:iCs w:val="false"/>
        </w:rPr>
        <w:t xml:space="preserve">Discount rate context: Stabilized multifamily assets with TIF support typically underwrite to discount rates in the 5-6% range for institutional capital. The 8% rate used in IDP's analysis is more consistent with a developer's IRR hurdle than an owner's NPV discount rate. The appeal is value-positive at every rate from 5% through 8%.</w:t>
      </w:r>
    </w:p>
    <w:p>
      <w:r>
        <w:br w:type="page"/>
      </w:r>
    </w:p>
    <w:p>
      <w:pPr>
        <w:pStyle w:val="Heading1"/>
      </w:pPr>
      <w:r>
        <w:t xml:space="preserve">10. Glossary of Key TIF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TMV (Total/Taxable Market Value)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assessor's estimate of the property's market value, used as the basis for property tax computation.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NTC (Net Tax Capacity)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TMV × class rate. For housing at 1.25%, NTC = 0.0125 × TMV. This is the actual tax capacity of the property.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ONTC (Original Net Tax Capacity / Base NTC)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pre-development NTC of the parcel at the time the TIF District was certified. Only INCREMENTAL NTC above ONTC is captured as TIF; ONTC flows to the normal taxing jurisdictions.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Captured NTC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Current NTC minus ONTC. The portion of tax capacity that generates TIF revenue.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Tax Capacity Rate (TaxCap)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composite tax rate applied to NTC, expressed as a multiple. Currently 1.27866 for Richfield (Ehlers reverse-engineered figure).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Tax Increment (TI)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Captured NTC × Tax Capacity Rate. The gross dollar amount of property tax collected on the increment, diverted from normal taxing districts into the TIF fund.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Admin Holdback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HRA's administrative fee deducted from gross TI before TIF Note payments. Set at 10% per TIF Plan.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OSA Fee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State of Minnesota auditor fee on TIF districts, 0.36%.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TIF Note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revenue obligation issued by the HRA to the developer/owner, repaid from TIF receipts. Limited revenue — non-recourse, no event of default available.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Pay-As-You-Go Note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TIF Note structure under which the obligation is repaid only from actual TIF received; there is no City obligation to fund shortfalls.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MAA (Minimum Assessment Agreement)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contractual floor on the assessor's valuation, recorded against the property and binding on the assessor. Per Minnesota Statute 469.177, subd. 8.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MAA Floor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dollar value set as the contractual minimum in the MAA. Cannot legally be assessed below this floor.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Forgiveness at Maturity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 Note §3, any balance unpaid on the TIF Note at maturity (2/1/2046) is forgiven. No default consequence.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NPV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Net Present Value — discounted cash flows summed to a single present-day equivalent.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Discount Rate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rate used to convert future cash flows to present value. Typically equals the investor's opportunity cost of capital or required hurdle.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before="0"/>
        <w:jc w:val="center"/>
      </w:pPr>
      <w:r>
        <w:rPr>
          <w:b w:val="false"/>
          <w:bCs w:val="false"/>
          <w:i/>
          <w:iCs/>
        </w:rPr>
        <w:t xml:space="preserve">End of Addendum B.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Addendum B — KA Analysis Backup  |  </w:t>
    </w:r>
    <w:r>
      <w:rPr>
        <w:b/>
        <w:bCs/>
        <w:color w:val="C00000"/>
        <w:sz w:val="16"/>
        <w:szCs w:val="16"/>
      </w:rPr>
      <w:t xml:space="preserve">PRIVILEGED &amp; CONFIDENTIAL — INTERNAL USE ONLY</w:t>
    </w:r>
    <w:r>
      <w:rPr>
        <w:color w:val="808080"/>
        <w:sz w:val="16"/>
        <w:szCs w:val="16"/>
      </w:rPr>
      <w:t xml:space="preserve">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8" w:sz="4" w:space="4"/>
      </w:pBdr>
      <w:jc w:val="left"/>
    </w:pPr>
    <w:r>
      <w:rPr>
        <w:b/>
        <w:bCs/>
        <w:color w:val="1F4E78"/>
        <w:sz w:val="18"/>
        <w:szCs w:val="18"/>
      </w:rPr>
      <w:t xml:space="preserve">CHAMBERLAIN APARTMENTS  </w:t>
    </w:r>
    <w:r>
      <w:rPr>
        <w:color w:val="808080"/>
        <w:sz w:val="16"/>
        <w:szCs w:val="16"/>
      </w:rPr>
      <w:t xml:space="preserve"> |  Kraus-Anderson Asset Management  |  Addendum B — KA Analysis Backup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Error #%1.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E78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2026-05-12T23:10:46.310Z</dcterms:created>
  <dcterms:modified xsi:type="dcterms:W3CDTF">2026-05-12T23:10:46.311Z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