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F4E78"/>
          <w:sz w:val="36"/>
          <w:szCs w:val="36"/>
        </w:rPr>
        <w:t xml:space="preserve">MEMORANDUM</w:t>
      </w:r>
    </w:p>
    <w:p>
      <w:pPr>
        <w:spacing w:after="60" w:before="0"/>
        <w:jc w:val="center"/>
      </w:pPr>
      <w:r>
        <w:rPr>
          <w:b/>
          <w:bCs/>
          <w:color w:val="1F4E78"/>
          <w:sz w:val="28"/>
          <w:szCs w:val="28"/>
        </w:rPr>
        <w:t xml:space="preserve">Chamberlain Apartments — Strategic Memo to Leadership</w:t>
      </w:r>
    </w:p>
    <w:p>
      <w:pPr>
        <w:spacing w:after="360" w:before="0"/>
        <w:jc w:val="center"/>
      </w:pPr>
      <w:r>
        <w:rPr>
          <w:i/>
          <w:iCs/>
          <w:color w:val="595959"/>
          <w:sz w:val="22"/>
          <w:szCs w:val="22"/>
        </w:rPr>
        <w:t xml:space="preserve">Tax appeal decision, JV partner posture, and recommended path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40"/>
              <w:left w:type="dxa" w:w="0"/>
              <w:bottom w:type="dxa" w:w="40"/>
              <w:right w:type="dxa" w:w="100"/>
            </w:tcMar>
          </w:tcPr>
          <w:p>
            <w:r>
              <w:rPr>
                <w:b/>
                <w:bCs/>
                <w:sz w:val="22"/>
                <w:szCs w:val="22"/>
              </w:rPr>
              <w:t xml:space="preserve">TO:</w:t>
            </w:r>
          </w:p>
        </w:tc>
        <w:tc>
          <w:tcPr>
            <w:tcW w:type="dxa" w:w="7920"/>
            <w:tcBorders>
              <w:top w:val="none" w:color="FFFFFF" w:sz="0"/>
              <w:left w:val="none" w:color="FFFFFF" w:sz="0"/>
              <w:bottom w:val="none" w:color="FFFFFF" w:sz="0"/>
              <w:right w:val="none" w:color="FFFFFF" w:sz="0"/>
            </w:tcBorders>
            <w:tcMar>
              <w:top w:type="dxa" w:w="40"/>
              <w:left w:type="dxa" w:w="0"/>
              <w:bottom w:type="dxa" w:w="40"/>
              <w:right w:type="dxa" w:w="0"/>
            </w:tcMar>
          </w:tcPr>
          <w:p>
            <w:r>
              <w:rPr>
                <w:sz w:val="22"/>
                <w:szCs w:val="22"/>
              </w:rPr>
              <w:t xml:space="preserve">Kraus-Anderson Leadership / Ownership</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100"/>
            </w:tcMar>
          </w:tcPr>
          <w:p>
            <w:r>
              <w:rPr>
                <w:b/>
                <w:bCs/>
                <w:sz w:val="22"/>
                <w:szCs w:val="22"/>
              </w:rPr>
              <w:t xml:space="preserve">FROM:</w:t>
            </w:r>
          </w:p>
        </w:tc>
        <w:tc>
          <w:tcPr>
            <w:tcW w:type="dxa" w:w="7920"/>
            <w:tcBorders>
              <w:top w:val="none" w:color="FFFFFF" w:sz="0"/>
              <w:left w:val="none" w:color="FFFFFF" w:sz="0"/>
              <w:bottom w:val="none" w:color="FFFFFF" w:sz="0"/>
              <w:right w:val="none" w:color="FFFFFF" w:sz="0"/>
            </w:tcBorders>
            <w:tcMar>
              <w:top w:type="dxa" w:w="40"/>
              <w:left w:type="dxa" w:w="0"/>
              <w:bottom w:type="dxa" w:w="40"/>
              <w:right w:type="dxa" w:w="0"/>
            </w:tcMar>
          </w:tcPr>
          <w:p>
            <w:r>
              <w:rPr>
                <w:sz w:val="22"/>
                <w:szCs w:val="22"/>
              </w:rPr>
              <w:t xml:space="preserve">KA Asset Management</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100"/>
            </w:tcMar>
          </w:tcPr>
          <w:p>
            <w:r>
              <w:rPr>
                <w:b/>
                <w:bCs/>
                <w:sz w:val="22"/>
                <w:szCs w:val="22"/>
              </w:rPr>
              <w:t xml:space="preserve">RE:</w:t>
            </w:r>
          </w:p>
        </w:tc>
        <w:tc>
          <w:tcPr>
            <w:tcW w:type="dxa" w:w="7920"/>
            <w:tcBorders>
              <w:top w:val="none" w:color="FFFFFF" w:sz="0"/>
              <w:left w:val="none" w:color="FFFFFF" w:sz="0"/>
              <w:bottom w:val="none" w:color="FFFFFF" w:sz="0"/>
              <w:right w:val="none" w:color="FFFFFF" w:sz="0"/>
            </w:tcBorders>
            <w:tcMar>
              <w:top w:type="dxa" w:w="40"/>
              <w:left w:type="dxa" w:w="0"/>
              <w:bottom w:type="dxa" w:w="40"/>
              <w:right w:type="dxa" w:w="0"/>
            </w:tcMar>
          </w:tcPr>
          <w:p>
            <w:r>
              <w:rPr>
                <w:sz w:val="22"/>
                <w:szCs w:val="22"/>
              </w:rPr>
              <w:t xml:space="preserve">Chamberlain Apartments — Tax Appeal Decision; Analysis of JV Partner Position</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100"/>
            </w:tcMar>
          </w:tcPr>
          <w:p>
            <w:r>
              <w:rPr>
                <w:b/>
                <w:bCs/>
                <w:sz w:val="22"/>
                <w:szCs w:val="22"/>
              </w:rPr>
              <w:t xml:space="preserve">DATE:</w:t>
            </w:r>
          </w:p>
        </w:tc>
        <w:tc>
          <w:tcPr>
            <w:tcW w:type="dxa" w:w="7920"/>
            <w:tcBorders>
              <w:top w:val="none" w:color="FFFFFF" w:sz="0"/>
              <w:left w:val="none" w:color="FFFFFF" w:sz="0"/>
              <w:bottom w:val="none" w:color="FFFFFF" w:sz="0"/>
              <w:right w:val="none" w:color="FFFFFF" w:sz="0"/>
            </w:tcBorders>
            <w:tcMar>
              <w:top w:type="dxa" w:w="40"/>
              <w:left w:type="dxa" w:w="0"/>
              <w:bottom w:type="dxa" w:w="40"/>
              <w:right w:type="dxa" w:w="0"/>
            </w:tcMar>
          </w:tcPr>
          <w:p>
            <w:r>
              <w:rPr>
                <w:sz w:val="22"/>
                <w:szCs w:val="22"/>
              </w:rPr>
              <w:t xml:space="preserve">May 12, 2026</w:t>
            </w:r>
          </w:p>
        </w:tc>
      </w:tr>
    </w:tbl>
    <w:p>
      <w:pPr>
        <w:spacing w:after="80" w:before="80"/>
        <w:jc w:val="center"/>
      </w:pPr>
      <w:r>
        <w:rPr>
          <w:b/>
          <w:bCs/>
          <w:color w:val="C00000"/>
          <w:sz w:val="20"/>
          <w:szCs w:val="20"/>
        </w:rPr>
        <w:t xml:space="preserve">PRIVILEGED &amp; CONFIDENTIAL — ATTORNEY WORK PRODUCT — INTERNAL USE ONLY</w:t>
      </w:r>
    </w:p>
    <w:p>
      <w:pPr>
        <w:pBdr>
          <w:bottom w:val="single" w:color="1F4E78" w:sz="6" w:space="1"/>
        </w:pBdr>
        <w:spacing w:after="120" w:before="120"/>
      </w:pPr>
      <w:r>
        <w:t xml:space="preserve"/>
      </w:r>
    </w:p>
    <w:p>
      <w:pPr>
        <w:pStyle w:val="Heading1"/>
      </w:pPr>
      <w:r>
        <w:t xml:space="preserve">Executive Summary</w:t>
      </w:r>
    </w:p>
    <w:p>
      <w:pPr>
        <w:spacing w:after="120" w:before="0"/>
      </w:pPr>
      <w:r>
        <w:rPr>
          <w:b w:val="false"/>
          <w:bCs w:val="false"/>
          <w:i w:val="false"/>
          <w:iCs w:val="false"/>
        </w:rPr>
        <w:t xml:space="preserve">This memo addresses three connected questions facing KA leadership regarding Chamberlain Apartments:</w:t>
      </w:r>
    </w:p>
    <w:p>
      <w:pPr>
        <w:pStyle w:val="ListParagraph"/>
        <w:numPr>
          <w:ilvl w:val="0"/>
          <w:numId w:val="2"/>
        </w:numPr>
        <w:spacing w:after="60" w:before="60"/>
      </w:pPr>
      <w:r>
        <w:rPr>
          <w:b w:val="false"/>
          <w:bCs w:val="false"/>
        </w:rPr>
        <w:t xml:space="preserve">Should KA pursue a 2026 property tax appeal? (Yes — significant value at stake.)</w:t>
      </w:r>
    </w:p>
    <w:p>
      <w:pPr>
        <w:pStyle w:val="ListParagraph"/>
        <w:numPr>
          <w:ilvl w:val="0"/>
          <w:numId w:val="2"/>
        </w:numPr>
        <w:spacing w:after="60" w:before="60"/>
      </w:pPr>
      <w:r>
        <w:rPr>
          <w:b w:val="false"/>
          <w:bCs w:val="false"/>
        </w:rPr>
        <w:t xml:space="preserve">Why is our JV partner (Inland Development Partners, 'IDP') opposing the appeal? (Their analysis contains 15 errors, all biased against appealing — the pattern warrants strategic attention even before economic conclusions are drawn.)</w:t>
      </w:r>
    </w:p>
    <w:p>
      <w:pPr>
        <w:pStyle w:val="ListParagraph"/>
        <w:numPr>
          <w:ilvl w:val="0"/>
          <w:numId w:val="2"/>
        </w:numPr>
        <w:spacing w:after="60" w:before="60"/>
      </w:pPr>
      <w:r>
        <w:rPr>
          <w:b w:val="false"/>
          <w:bCs w:val="false"/>
        </w:rPr>
        <w:t xml:space="preserve">What should we do next? (Engage Ehlers for independent review; coordinate with Nick Furia on appeal settlement strategy; pursue MAA Floor strategy if JV impasse can be resolved; surface diagnostic questions for IDP through appropriate channels; obtain IDP's entity-level operating agreement.)</w:t>
      </w:r>
    </w:p>
    <w:p>
      <w:pPr>
        <w:spacing w:after="120" w:before="0"/>
      </w:pPr>
      <w:r>
        <w:rPr>
          <w:b w:val="false"/>
          <w:bCs w:val="false"/>
          <w:i w:val="false"/>
          <w:iCs w:val="false"/>
        </w:rPr>
        <w:t xml:space="preserve"/>
      </w:r>
    </w:p>
    <w:p>
      <w:pPr>
        <w:pStyle w:val="Heading3"/>
      </w:pPr>
      <w:r>
        <w:t xml:space="preserve">The economic case (5-second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1872"/>
        <w:gridCol w:w="1872"/>
        <w:gridCol w:w="1560"/>
        <w:gridCol w:w="1560"/>
      </w:tblGrid>
      <w:tr>
        <w:tc>
          <w:tcPr>
            <w:tcW w:type="dxa" w:w="2496"/>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center"/>
            </w:pPr>
            <w:r>
              <w:rPr>
                <w:b/>
                <w:bCs/>
                <w:color w:val="FFFFFF"/>
                <w:sz w:val="20"/>
                <w:szCs w:val="20"/>
              </w:rPr>
              <w:t xml:space="preserve">Strategy</w:t>
            </w:r>
          </w:p>
        </w:tc>
        <w:tc>
          <w:tcPr>
            <w:tcW w:type="dxa" w:w="1872"/>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center"/>
            </w:pPr>
            <w:r>
              <w:rPr>
                <w:b/>
                <w:bCs/>
                <w:color w:val="FFFFFF"/>
                <w:sz w:val="20"/>
                <w:szCs w:val="20"/>
              </w:rPr>
              <w:t xml:space="preserve">Nominal Benefit</w:t>
            </w:r>
          </w:p>
        </w:tc>
        <w:tc>
          <w:tcPr>
            <w:tcW w:type="dxa" w:w="1872"/>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center"/>
            </w:pPr>
            <w:r>
              <w:rPr>
                <w:b/>
                <w:bCs/>
                <w:color w:val="FFFFFF"/>
                <w:sz w:val="20"/>
                <w:szCs w:val="20"/>
              </w:rPr>
              <w:t xml:space="preserve">NPV @ 5%</w:t>
            </w:r>
          </w:p>
        </w:tc>
        <w:tc>
          <w:tcPr>
            <w:tcW w:type="dxa" w:w="156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center"/>
            </w:pPr>
            <w:r>
              <w:rPr>
                <w:b/>
                <w:bCs/>
                <w:color w:val="FFFFFF"/>
                <w:sz w:val="20"/>
                <w:szCs w:val="20"/>
              </w:rPr>
              <w:t xml:space="preserve">Note Payoff Year</w:t>
            </w:r>
          </w:p>
        </w:tc>
        <w:tc>
          <w:tcPr>
            <w:tcW w:type="dxa" w:w="156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center"/>
            </w:pPr>
            <w:r>
              <w:rPr>
                <w:b/>
                <w:bCs/>
                <w:color w:val="FFFFFF"/>
                <w:sz w:val="20"/>
                <w:szCs w:val="20"/>
              </w:rPr>
              <w:t xml:space="preserve">Attorney Fees</w:t>
            </w:r>
          </w:p>
        </w:tc>
      </w:tr>
      <w:tr>
        <w:tc>
          <w:tcPr>
            <w:tcW w:type="dxa" w:w="2496"/>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bCs/>
                <w:i w:val="false"/>
                <w:iCs w:val="false"/>
                <w:sz w:val="18"/>
                <w:szCs w:val="18"/>
              </w:rPr>
              <w:t xml:space="preserve">No Appeal</w:t>
            </w:r>
          </w:p>
        </w:tc>
        <w:tc>
          <w:tcPr>
            <w:tcW w:type="dxa" w:w="1872"/>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i w:val="false"/>
                <w:iCs w:val="false"/>
                <w:sz w:val="18"/>
                <w:szCs w:val="18"/>
              </w:rPr>
              <w:t xml:space="preserve">$0 (baseline)</w:t>
            </w:r>
          </w:p>
        </w:tc>
        <w:tc>
          <w:tcPr>
            <w:tcW w:type="dxa" w:w="1872"/>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i w:val="false"/>
                <w:iCs w:val="false"/>
                <w:sz w:val="18"/>
                <w:szCs w:val="18"/>
              </w:rPr>
              <w:t xml:space="preserve">$0 (baseline)</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i w:val="false"/>
                <w:iCs w:val="false"/>
                <w:sz w:val="18"/>
                <w:szCs w:val="18"/>
              </w:rPr>
              <w:t xml:space="preserve">2039</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i w:val="false"/>
                <w:iCs w:val="false"/>
                <w:sz w:val="18"/>
                <w:szCs w:val="18"/>
              </w:rPr>
              <w:t xml:space="preserve">$0</w:t>
            </w:r>
          </w:p>
        </w:tc>
      </w:tr>
      <w:tr>
        <w:tc>
          <w:tcPr>
            <w:tcW w:type="dxa" w:w="249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bCs/>
                <w:i w:val="false"/>
                <w:iCs w:val="false"/>
                <w:sz w:val="18"/>
                <w:szCs w:val="18"/>
              </w:rPr>
              <w:t xml:space="preserve">Appeal to $50M (Mid)</w:t>
            </w:r>
          </w:p>
        </w:tc>
        <w:tc>
          <w:tcPr>
            <w:tcW w:type="dxa" w:w="1872"/>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val="false"/>
                <w:bCs w:val="false"/>
                <w:i w:val="false"/>
                <w:iCs w:val="false"/>
                <w:color w:val="006100"/>
                <w:sz w:val="18"/>
                <w:szCs w:val="18"/>
              </w:rPr>
              <w:t xml:space="preserve">+$5.2M</w:t>
            </w:r>
          </w:p>
        </w:tc>
        <w:tc>
          <w:tcPr>
            <w:tcW w:type="dxa" w:w="1872"/>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val="false"/>
                <w:bCs w:val="false"/>
                <w:i w:val="false"/>
                <w:iCs w:val="false"/>
                <w:color w:val="006100"/>
                <w:sz w:val="18"/>
                <w:szCs w:val="18"/>
              </w:rPr>
              <w:t xml:space="preserve">+$2.5M</w:t>
            </w:r>
          </w:p>
        </w:tc>
        <w:tc>
          <w:tcPr>
            <w:tcW w:type="dxa" w:w="1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val="false"/>
                <w:bCs w:val="false"/>
                <w:i w:val="false"/>
                <w:iCs w:val="false"/>
                <w:sz w:val="18"/>
                <w:szCs w:val="18"/>
              </w:rPr>
              <w:t xml:space="preserve">2040</w:t>
            </w:r>
          </w:p>
        </w:tc>
        <w:tc>
          <w:tcPr>
            <w:tcW w:type="dxa" w:w="1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val="false"/>
                <w:bCs w:val="false"/>
                <w:i w:val="false"/>
                <w:iCs w:val="false"/>
                <w:sz w:val="18"/>
                <w:szCs w:val="18"/>
              </w:rPr>
              <w:t xml:space="preserve">$234K</w:t>
            </w:r>
          </w:p>
        </w:tc>
      </w:tr>
      <w:tr>
        <w:tc>
          <w:tcPr>
            <w:tcW w:type="dxa" w:w="2496"/>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bCs/>
                <w:i w:val="false"/>
                <w:iCs w:val="false"/>
                <w:sz w:val="18"/>
                <w:szCs w:val="18"/>
              </w:rPr>
              <w:t xml:space="preserve">Appeal to $47.5M (Agg.)</w:t>
            </w:r>
          </w:p>
        </w:tc>
        <w:tc>
          <w:tcPr>
            <w:tcW w:type="dxa" w:w="1872"/>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i w:val="false"/>
                <w:iCs w:val="false"/>
                <w:color w:val="006100"/>
                <w:sz w:val="18"/>
                <w:szCs w:val="18"/>
              </w:rPr>
              <w:t xml:space="preserve">+$6.3M</w:t>
            </w:r>
          </w:p>
        </w:tc>
        <w:tc>
          <w:tcPr>
            <w:tcW w:type="dxa" w:w="1872"/>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i w:val="false"/>
                <w:iCs w:val="false"/>
                <w:color w:val="006100"/>
                <w:sz w:val="18"/>
                <w:szCs w:val="18"/>
              </w:rPr>
              <w:t xml:space="preserve">+$3.1M</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i w:val="false"/>
                <w:iCs w:val="false"/>
                <w:sz w:val="18"/>
                <w:szCs w:val="18"/>
              </w:rPr>
              <w:t xml:space="preserve">2041</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i w:val="false"/>
                <w:iCs w:val="false"/>
                <w:sz w:val="18"/>
                <w:szCs w:val="18"/>
              </w:rPr>
              <w:t xml:space="preserve">$283K</w:t>
            </w:r>
          </w:p>
        </w:tc>
      </w:tr>
      <w:tr>
        <w:tc>
          <w:tcPr>
            <w:tcW w:type="dxa" w:w="2496"/>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jc w:val="left"/>
            </w:pPr>
            <w:r>
              <w:rPr>
                <w:b/>
                <w:bCs/>
                <w:i w:val="false"/>
                <w:iCs w:val="false"/>
                <w:sz w:val="18"/>
                <w:szCs w:val="18"/>
              </w:rPr>
              <w:t xml:space="preserve">Appeal to MAA Floor</w:t>
            </w:r>
          </w:p>
        </w:tc>
        <w:tc>
          <w:tcPr>
            <w:tcW w:type="dxa" w:w="1872"/>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jc w:val="center"/>
            </w:pPr>
            <w:r>
              <w:rPr>
                <w:b/>
                <w:bCs/>
                <w:i w:val="false"/>
                <w:iCs w:val="false"/>
                <w:color w:val="006100"/>
                <w:sz w:val="18"/>
                <w:szCs w:val="18"/>
              </w:rPr>
              <w:t xml:space="preserve">+$11.5M</w:t>
            </w:r>
          </w:p>
        </w:tc>
        <w:tc>
          <w:tcPr>
            <w:tcW w:type="dxa" w:w="1872"/>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jc w:val="center"/>
            </w:pPr>
            <w:r>
              <w:rPr>
                <w:b/>
                <w:bCs/>
                <w:i w:val="false"/>
                <w:iCs w:val="false"/>
                <w:color w:val="006100"/>
                <w:sz w:val="18"/>
                <w:szCs w:val="18"/>
              </w:rPr>
              <w:t xml:space="preserve">+$5.5M</w:t>
            </w:r>
          </w:p>
        </w:tc>
        <w:tc>
          <w:tcPr>
            <w:tcW w:type="dxa" w:w="156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jc w:val="center"/>
            </w:pPr>
            <w:r>
              <w:rPr>
                <w:b/>
                <w:bCs/>
                <w:i w:val="false"/>
                <w:iCs w:val="false"/>
                <w:sz w:val="18"/>
                <w:szCs w:val="18"/>
              </w:rPr>
              <w:t xml:space="preserve">2044</w:t>
            </w:r>
          </w:p>
        </w:tc>
        <w:tc>
          <w:tcPr>
            <w:tcW w:type="dxa" w:w="156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jc w:val="center"/>
            </w:pPr>
            <w:r>
              <w:rPr>
                <w:b/>
                <w:bCs/>
                <w:i w:val="false"/>
                <w:iCs w:val="false"/>
                <w:sz w:val="18"/>
                <w:szCs w:val="18"/>
              </w:rPr>
              <w:t xml:space="preserve">$505K</w:t>
            </w:r>
          </w:p>
        </w:tc>
      </w:tr>
    </w:tbl>
    <w:p>
      <w:pPr>
        <w:spacing w:after="120" w:before="0"/>
      </w:pPr>
      <w:r>
        <w:rPr>
          <w:b w:val="false"/>
          <w:bCs w:val="false"/>
          <w:i w:val="false"/>
          <w:iCs w:val="false"/>
        </w:rPr>
        <w:t xml:space="preserve"/>
      </w:r>
    </w:p>
    <w:p>
      <w:pPr>
        <w:spacing w:after="240" w:before="0"/>
      </w:pPr>
      <w:r>
        <w:rPr>
          <w:b w:val="false"/>
          <w:bCs w:val="false"/>
          <w:i w:val="false"/>
          <w:iCs w:val="false"/>
        </w:rPr>
        <w:t xml:space="preserve">The recommended MAA Floor strategy delivers approximately $5.5M in NPV at a 5% discount rate, after all attorney fees. The strategy carries no meaningful downside: the TIF Note pays off in all scenarios prior to the 2045 last-increment year, and the MAA Floor is the contractual minimum (i.e., the property assessment legally cannot drop further). KA's underwriting is on patient capital with appropriate time horizon to capture this value.</w:t>
      </w:r>
    </w:p>
    <w:p>
      <w:pPr>
        <w:pStyle w:val="Heading1"/>
      </w:pPr>
      <w:r>
        <w:t xml:space="preserve">1. The Technical Case for Appealing</w:t>
      </w:r>
    </w:p>
    <w:p>
      <w:pPr>
        <w:spacing w:after="120" w:before="0"/>
      </w:pPr>
      <w:r>
        <w:rPr>
          <w:b w:val="false"/>
          <w:bCs w:val="false"/>
          <w:i w:val="false"/>
          <w:iCs w:val="false"/>
        </w:rPr>
        <w:t xml:space="preserve">We have built a parallel TIF model that reproduces all of Ehlers' published unit figures (from the City's April 2026 Chamberlain TIF Update) to within $86 of every published value. The reconciliation is full and we are prepared to walk Ehlers through our methodology line-by-line.</w:t>
      </w:r>
    </w:p>
    <w:p>
      <w:pPr>
        <w:spacing w:after="120" w:before="0"/>
      </w:pPr>
      <w:r>
        <w:rPr>
          <w:b w:val="false"/>
          <w:bCs w:val="false"/>
          <w:i w:val="false"/>
          <w:iCs w:val="false"/>
        </w:rPr>
        <w:t xml:space="preserve">The core economics are simple. Chamberlain Apartments LLC is BOTH the property owner (paying property tax) AND the TIF Note holder (receiving TIF). When TMV drops via appeal:</w:t>
      </w:r>
    </w:p>
    <w:p>
      <w:pPr>
        <w:pStyle w:val="ListParagraph"/>
        <w:numPr>
          <w:ilvl w:val="0"/>
          <w:numId w:val="3"/>
        </w:numPr>
        <w:spacing w:after="60" w:before="60"/>
      </w:pPr>
      <w:r>
        <w:rPr>
          <w:b w:val="false"/>
          <w:bCs w:val="false"/>
          <w:i w:val="false"/>
          <w:iCs w:val="false"/>
        </w:rPr>
        <w:t xml:space="preserve">Property tax paid drops by approximately $0.0125 × $1 of TMV reduction × tax capacity rate.</w:t>
      </w:r>
    </w:p>
    <w:p>
      <w:pPr>
        <w:pStyle w:val="ListParagraph"/>
        <w:numPr>
          <w:ilvl w:val="0"/>
          <w:numId w:val="3"/>
        </w:numPr>
        <w:spacing w:after="60" w:before="60"/>
      </w:pPr>
      <w:r>
        <w:rPr>
          <w:b w:val="false"/>
          <w:bCs w:val="false"/>
          <w:i w:val="false"/>
          <w:iCs w:val="false"/>
        </w:rPr>
        <w:t xml:space="preserve">TIF received also drops, but only by 90% of the property tax reduction (the City retains the 10% admin holdback regardless of TMV).</w:t>
      </w:r>
    </w:p>
    <w:p>
      <w:pPr>
        <w:pStyle w:val="ListParagraph"/>
        <w:numPr>
          <w:ilvl w:val="0"/>
          <w:numId w:val="3"/>
        </w:numPr>
        <w:spacing w:after="60" w:before="60"/>
      </w:pPr>
      <w:r>
        <w:rPr>
          <w:b/>
          <w:bCs/>
        </w:rPr>
        <w:t xml:space="preserve">Net to the LLC: </w:t>
      </w:r>
      <w:r>
        <w:t xml:space="preserve">the 10% admin holdback PER DOLLAR of TMV reduction is real cash flow back to ownership — multiplied by the full TIF District life (through 2045).</w:t>
      </w:r>
    </w:p>
    <w:p>
      <w:pPr>
        <w:pStyle w:val="ListParagraph"/>
        <w:numPr>
          <w:ilvl w:val="0"/>
          <w:numId w:val="3"/>
        </w:numPr>
        <w:spacing w:after="60" w:before="60"/>
      </w:pPr>
      <w:r>
        <w:rPr>
          <w:b/>
          <w:bCs/>
        </w:rPr>
        <w:t xml:space="preserve">After the Note pays off </w:t>
      </w:r>
      <w:r>
        <w:t xml:space="preserve">(2039-2044 depending on scenario), 100% of the tax reduction flows to ownership with no offsetting TIF reduction. This is where the bulk of the appeal benefit accrues.</w:t>
      </w:r>
    </w:p>
    <w:p>
      <w:pPr>
        <w:spacing w:after="240" w:before="0"/>
      </w:pPr>
      <w:r>
        <w:rPr>
          <w:b w:val="false"/>
          <w:bCs w:val="false"/>
          <w:i w:val="false"/>
          <w:iCs w:val="false"/>
        </w:rPr>
        <w:t xml:space="preserve">The full technical write-up is in our Technical Memo (Memo #1) and Addendum B. The Excel model is available for inspection.</w:t>
      </w:r>
    </w:p>
    <w:p>
      <w:pPr>
        <w:pStyle w:val="Heading1"/>
      </w:pPr>
      <w:r>
        <w:t xml:space="preserve">2. The IDP Position</w:t>
      </w:r>
    </w:p>
    <w:p>
      <w:pPr>
        <w:spacing w:after="120" w:before="0"/>
      </w:pPr>
      <w:r>
        <w:rPr>
          <w:b w:val="false"/>
          <w:bCs w:val="false"/>
          <w:i w:val="false"/>
          <w:iCs w:val="false"/>
        </w:rPr>
        <w:t xml:space="preserve">IDP circulated a 25-page Excel analysis on April 17, 2026 recommending against the appeal. Their conclusion: the appeal is approximately break-even on a 10-year NPV basis ($17,704 nominal / $4,367 NPV per their Investor Summary). Based on this analysis, IDP has formally taken the position that KA should not pursue the appeal.</w:t>
      </w:r>
    </w:p>
    <w:p>
      <w:pPr>
        <w:spacing w:after="120" w:before="0"/>
      </w:pPr>
      <w:r>
        <w:rPr>
          <w:b w:val="false"/>
          <w:bCs w:val="false"/>
          <w:i w:val="false"/>
          <w:iCs w:val="false"/>
        </w:rPr>
        <w:t xml:space="preserve">We have reviewed IDP's analysis in detail. Our findings are summarized below and fully catalogued in Addendum A.</w:t>
      </w:r>
    </w:p>
    <w:p>
      <w:pPr>
        <w:pStyle w:val="Heading3"/>
      </w:pPr>
      <w:r>
        <w:t xml:space="preserve">Summary of issues identified in IDP's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Issue</w:t>
            </w:r>
          </w:p>
        </w:tc>
        <w:tc>
          <w:tcPr>
            <w:tcW w:type="dxa" w:w="156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Type</w:t>
            </w:r>
          </w:p>
        </w:tc>
      </w:tr>
      <w:tr>
        <w:tc>
          <w:tcPr>
            <w:tcW w:type="dxa" w:w="7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10-year time horizon (truncates 2036-2045 — where most value accrues)</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i w:val="false"/>
                <w:iCs w:val="false"/>
                <w:sz w:val="18"/>
                <w:szCs w:val="18"/>
              </w:rPr>
              <w:t xml:space="preserve">Methodology</w:t>
            </w:r>
          </w:p>
        </w:tc>
      </w:tr>
      <w:tr>
        <w:tc>
          <w:tcPr>
            <w:tcW w:type="dxa" w:w="7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Attorney fee applied to every year's savings (10×, not 1×)</w:t>
            </w:r>
          </w:p>
        </w:tc>
        <w:tc>
          <w:tcPr>
            <w:tcW w:type="dxa" w:w="1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val="false"/>
                <w:bCs w:val="false"/>
                <w:i w:val="false"/>
                <w:iCs w:val="false"/>
                <w:sz w:val="18"/>
                <w:szCs w:val="18"/>
              </w:rPr>
              <w:t xml:space="preserve">Methodology</w:t>
            </w:r>
          </w:p>
        </w:tc>
      </w:tr>
      <w:tr>
        <w:tc>
          <w:tcPr>
            <w:tcW w:type="dxa" w:w="7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8% discount rate (200-300 bps above institutional norm for this asset class)</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i w:val="false"/>
                <w:iCs w:val="false"/>
                <w:sz w:val="18"/>
                <w:szCs w:val="18"/>
              </w:rPr>
              <w:t xml:space="preserve">Methodology</w:t>
            </w:r>
          </w:p>
        </w:tc>
      </w:tr>
      <w:tr>
        <w:tc>
          <w:tcPr>
            <w:tcW w:type="dxa" w:w="7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Original NTC set to zero (overstates baseline TIF by ~5.7%)</w:t>
            </w:r>
          </w:p>
        </w:tc>
        <w:tc>
          <w:tcPr>
            <w:tcW w:type="dxa" w:w="1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val="false"/>
                <w:bCs w:val="false"/>
                <w:i w:val="false"/>
                <w:iCs w:val="false"/>
                <w:sz w:val="18"/>
                <w:szCs w:val="18"/>
              </w:rPr>
              <w:t xml:space="preserve">Methodology</w:t>
            </w:r>
          </w:p>
        </w:tc>
      </w:tr>
      <w:tr>
        <w:tc>
          <w:tcPr>
            <w:tcW w:type="dxa" w:w="7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Developer share applied along with admin holdback (effective double-count)</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i w:val="false"/>
                <w:iCs w:val="false"/>
                <w:sz w:val="18"/>
                <w:szCs w:val="18"/>
              </w:rPr>
              <w:t xml:space="preserve">Methodology</w:t>
            </w:r>
          </w:p>
        </w:tc>
      </w:tr>
      <w:tr>
        <w:tc>
          <w:tcPr>
            <w:tcW w:type="dxa" w:w="7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MAA Floor scenario not modeled at all (despite being the City's reference scenario)</w:t>
            </w:r>
          </w:p>
        </w:tc>
        <w:tc>
          <w:tcPr>
            <w:tcW w:type="dxa" w:w="1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val="false"/>
                <w:bCs w:val="false"/>
                <w:i w:val="false"/>
                <w:iCs w:val="false"/>
                <w:sz w:val="18"/>
                <w:szCs w:val="18"/>
              </w:rPr>
              <w:t xml:space="preserve">Methodology</w:t>
            </w:r>
          </w:p>
        </w:tc>
      </w:tr>
      <w:tr>
        <w:tc>
          <w:tcPr>
            <w:tcW w:type="dxa" w:w="7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Wrong starting TMV ($54.866M = 2025 value, not 2026 county-set $52.151M)</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i w:val="false"/>
                <w:iCs w:val="false"/>
                <w:sz w:val="18"/>
                <w:szCs w:val="18"/>
              </w:rPr>
              <w:t xml:space="preserve">Input error</w:t>
            </w:r>
          </w:p>
        </w:tc>
      </w:tr>
      <w:tr>
        <w:tc>
          <w:tcPr>
            <w:tcW w:type="dxa" w:w="7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Sensitivity flexes wrong variable (TMV growth, not appeal target)</w:t>
            </w:r>
          </w:p>
        </w:tc>
        <w:tc>
          <w:tcPr>
            <w:tcW w:type="dxa" w:w="1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val="false"/>
                <w:bCs w:val="false"/>
                <w:i w:val="false"/>
                <w:iCs w:val="false"/>
                <w:sz w:val="18"/>
                <w:szCs w:val="18"/>
              </w:rPr>
              <w:t xml:space="preserve">Methodology</w:t>
            </w:r>
          </w:p>
        </w:tc>
      </w:tr>
      <w:tr>
        <w:tc>
          <w:tcPr>
            <w:tcW w:type="dxa" w:w="7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Multiple off-by-one formula errors in TIF revenue columns (E5:E12, F5:F12)</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i w:val="false"/>
                <w:iCs w:val="false"/>
                <w:sz w:val="18"/>
                <w:szCs w:val="18"/>
              </w:rPr>
              <w:t xml:space="preserve">Formula bug</w:t>
            </w:r>
          </w:p>
        </w:tc>
      </w:tr>
      <w:tr>
        <w:tc>
          <w:tcPr>
            <w:tcW w:type="dxa" w:w="7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TIF Appeal column copies prior year's value — flat for 8 years</w:t>
            </w:r>
          </w:p>
        </w:tc>
        <w:tc>
          <w:tcPr>
            <w:tcW w:type="dxa" w:w="1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val="false"/>
                <w:bCs w:val="false"/>
                <w:i w:val="false"/>
                <w:iCs w:val="false"/>
                <w:sz w:val="18"/>
                <w:szCs w:val="18"/>
              </w:rPr>
              <w:t xml:space="preserve">Formula bug</w:t>
            </w:r>
          </w:p>
        </w:tc>
      </w:tr>
      <w:tr>
        <w:tc>
          <w:tcPr>
            <w:tcW w:type="dxa" w:w="7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MIN() formula references text header cell in Increment_Comparison!C3</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i w:val="false"/>
                <w:iCs w:val="false"/>
                <w:sz w:val="18"/>
                <w:szCs w:val="18"/>
              </w:rPr>
              <w:t xml:space="preserve">Formula bug</w:t>
            </w:r>
          </w:p>
        </w:tc>
      </w:tr>
      <w:tr>
        <w:tc>
          <w:tcPr>
            <w:tcW w:type="dxa" w:w="7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Year-6 off-by-one replicated across all 7 sensitivity scenarios (H42, H49, H56, H63, H70, H77, H84)</w:t>
            </w:r>
          </w:p>
        </w:tc>
        <w:tc>
          <w:tcPr>
            <w:tcW w:type="dxa" w:w="1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val="false"/>
                <w:bCs w:val="false"/>
                <w:i w:val="false"/>
                <w:iCs w:val="false"/>
                <w:sz w:val="18"/>
                <w:szCs w:val="18"/>
              </w:rPr>
              <w:t xml:space="preserve">Formula bug</w:t>
            </w:r>
          </w:p>
        </w:tc>
      </w:tr>
      <w:tr>
        <w:tc>
          <w:tcPr>
            <w:tcW w:type="dxa" w:w="7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Plus 3 additional methodology choices (growth rate selection, legal-constraint mischaracterization, framing)</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i w:val="false"/>
                <w:iCs w:val="false"/>
                <w:sz w:val="18"/>
                <w:szCs w:val="18"/>
              </w:rPr>
              <w:t xml:space="preserve">Methodology</w:t>
            </w:r>
          </w:p>
        </w:tc>
      </w:tr>
    </w:tbl>
    <w:p>
      <w:pPr>
        <w:spacing w:after="120" w:before="0"/>
      </w:pPr>
      <w:r>
        <w:rPr>
          <w:b w:val="false"/>
          <w:bCs w:val="false"/>
          <w:i w:val="false"/>
          <w:iCs w:val="false"/>
        </w:rPr>
        <w:t xml:space="preserve"/>
      </w:r>
    </w:p>
    <w:p>
      <w:pPr>
        <w:spacing w:after="240" w:before="0"/>
      </w:pPr>
      <w:r>
        <w:rPr>
          <w:b w:val="false"/>
          <w:bCs w:val="false"/>
          <w:i/>
          <w:iCs/>
        </w:rPr>
        <w:t xml:space="preserve">Total identified issues: 15. Cumulative effect: a strongly-positive appeal scenario reframed as 'break-even.'</w:t>
      </w:r>
    </w:p>
    <w:p>
      <w:pPr>
        <w:pStyle w:val="Heading1"/>
      </w:pPr>
      <w:r>
        <w:t xml:space="preserve">3. The Pattern Worth Noting</w:t>
      </w:r>
    </w:p>
    <w:p>
      <w:pPr>
        <w:pBdr>
          <w:top w:val="single" w:color="C00000" w:sz="6" w:space="8"/>
          <w:bottom w:val="single" w:color="C00000" w:sz="6" w:space="8"/>
          <w:left w:val="single" w:color="C00000" w:sz="6" w:space="8"/>
          <w:right w:val="single" w:color="C00000" w:sz="6" w:space="8"/>
        </w:pBdr>
        <w:shd w:fill="FFF2CC" w:val="clear"/>
        <w:spacing w:after="120" w:before="120"/>
        <w:ind w:left="120" w:right="120"/>
      </w:pPr>
      <w:r>
        <w:rPr>
          <w:b w:val="false"/>
          <w:bCs w:val="false"/>
          <w:i/>
          <w:iCs/>
          <w:sz w:val="20"/>
          <w:szCs w:val="20"/>
        </w:rPr>
        <w:t xml:space="preserve">All 15 issues identified in IDP's analysis bias the conclusion in the same direction — against appealing. We note this not as an accusation, but as an analytical observation: in our experience, good-faith methodological disagreements produce errors that scatter across both directions. When every error points one way, it warrants asking why.</w:t>
      </w:r>
    </w:p>
    <w:p>
      <w:pPr>
        <w:spacing w:after="120" w:before="0"/>
      </w:pPr>
      <w:r>
        <w:rPr>
          <w:b w:val="false"/>
          <w:bCs w:val="false"/>
          <w:i w:val="false"/>
          <w:iCs w:val="false"/>
        </w:rPr>
        <w:t xml:space="preserve">This observation is the starting point for the rest of this memo. The remainder of Section 3 lays out the context that, in our view, makes the pattern worth examining rather than dismissing.</w:t>
      </w:r>
    </w:p>
    <w:p>
      <w:pPr>
        <w:pStyle w:val="Heading2"/>
      </w:pPr>
      <w:r>
        <w:t xml:space="preserve">3.1 The 2018 Sale</w:t>
      </w:r>
    </w:p>
    <w:p>
      <w:pPr>
        <w:spacing w:after="120" w:before="0"/>
      </w:pPr>
      <w:r>
        <w:rPr>
          <w:b w:val="false"/>
          <w:bCs w:val="false"/>
          <w:i w:val="false"/>
          <w:iCs w:val="false"/>
        </w:rPr>
        <w:t xml:space="preserve">In 2018, IDP sold approximately 50% of its membership interests in Chamberlain Apartments LLC to outside investors. This sale occurred without KA's prior knowledge or written consent. Whether the sale was structurally permitted under the JV Operating Agreement is a question for counsel; the operational fact is that some material portion of the TIF cash flows and equity upside that originally accrued to IDP now accrues to third parties whose identities, expectations, and contractual rights vis-à-vis IDP we do not have visibility into.</w:t>
      </w:r>
    </w:p>
    <w:p>
      <w:pPr>
        <w:spacing w:after="120" w:before="0"/>
      </w:pPr>
      <w:r>
        <w:rPr>
          <w:b w:val="false"/>
          <w:bCs w:val="false"/>
          <w:i w:val="false"/>
          <w:iCs w:val="false"/>
        </w:rPr>
        <w:t xml:space="preserve">Those 2018 investors would have been underwritten on specific projections — almost certainly including specific TIF cash flow projections at then-current TMV assumptions. A tax appeal that reduces near-term TIF flows by ~$158K/year may create issues for IDP relative to commitments made to those 2018 investors, even if it is value-positive for the LLC over the full TIF life.</w:t>
      </w:r>
    </w:p>
    <w:p>
      <w:pPr>
        <w:spacing w:after="120" w:before="0"/>
      </w:pPr>
      <w:r>
        <w:rPr>
          <w:b w:val="false"/>
          <w:bCs w:val="false"/>
          <w:i w:val="false"/>
          <w:iCs w:val="false"/>
        </w:rPr>
        <w:t xml:space="preserve">Equally important: we have no visibility into the economic terms of the 2018 assignment. It is entirely possible that IDP agreed to give those new partners a disproportionately large share of IDP's TIF Note proceeds — potentially exceeding their pro-rata equity ownership. If IDP assigned, say, 75% of the TIF distributions to recover only 50% of equity capital (or any similar mismatched structure), then IDP's per-dollar exposure to TIF reduction is amplified well beyond what we would assume based on JV equity percentages alone. This would also explain IDP's apparent prioritization of TIF mechanics in the deal economics.</w:t>
      </w:r>
    </w:p>
    <w:p>
      <w:pPr>
        <w:spacing w:after="200" w:before="0"/>
      </w:pPr>
      <w:r>
        <w:rPr>
          <w:b w:val="false"/>
          <w:bCs w:val="false"/>
          <w:i w:val="false"/>
          <w:iCs w:val="false"/>
        </w:rPr>
        <w:t xml:space="preserve">Consistent with this: IDP has been hyper-focused on TIF payments and distributions from the inception of the partnership. Every interaction with IDP about Chamberlain economics centers on TIF cash flow timing and amount, often disproportionate to its share of overall LLC economics. This focus has always been notable; in light of the current dispute and the unknowns around the 2018 assignment, it now reads as potentially indicative of where IDP's actual economic exposure sits.</w:t>
      </w:r>
    </w:p>
    <w:p>
      <w:pPr>
        <w:pStyle w:val="Heading2"/>
      </w:pPr>
      <w:r>
        <w:t xml:space="preserve">3.2 Discount Rate Selection</w:t>
      </w:r>
    </w:p>
    <w:p>
      <w:pPr>
        <w:spacing w:after="120" w:before="0"/>
      </w:pPr>
      <w:r>
        <w:rPr>
          <w:b w:val="false"/>
          <w:bCs w:val="false"/>
          <w:i w:val="false"/>
          <w:iCs w:val="false"/>
        </w:rPr>
        <w:t xml:space="preserve">IDP's selection of an 8% discount rate is one of the most consequential methodological choices in their model. For a stabilized multifamily asset with TIF support — exactly the description of Chamberlain — institutional NPV discount rates typically fall in the 5-6% range. An 8% rate is more consistent with a developer's IRR hurdle for new construction, or with a sponsor's required return on illiquid promote-eligible equity.</w:t>
      </w:r>
    </w:p>
    <w:p>
      <w:pPr>
        <w:spacing w:after="120" w:before="0"/>
      </w:pPr>
      <w:r>
        <w:rPr>
          <w:b w:val="false"/>
          <w:bCs w:val="false"/>
          <w:i w:val="false"/>
          <w:iCs w:val="false"/>
        </w:rPr>
        <w:t xml:space="preserve">Translated: IDP's discount rate suggests their internal opportunity cost of capital is significantly higher than KA's. If accurate, this could indicate IDP is liquidity-constrained — capital availability is scarce enough that distant cash flows are heavily discounted, and near-term cash outflows feel acutely painful. A high discount rate is the financial signature of an investor who needs cash sooner rather than later.</w:t>
      </w:r>
    </w:p>
    <w:p>
      <w:pPr>
        <w:spacing w:after="200" w:before="0"/>
      </w:pPr>
      <w:r>
        <w:rPr>
          <w:b w:val="false"/>
          <w:bCs w:val="false"/>
          <w:i w:val="false"/>
          <w:iCs w:val="false"/>
        </w:rPr>
        <w:t xml:space="preserve">This is consistent with what we know publicly about IDP: multiple development projects with extended timelines, reported difficulties in their other Twin Cities deals, and a track record of bringing in outside capital partners (as in the 2018 Chamberlain sale) to monetize positions earlier.</w:t>
      </w:r>
    </w:p>
    <w:p>
      <w:pPr>
        <w:pStyle w:val="Heading2"/>
      </w:pPr>
      <w:r>
        <w:t xml:space="preserve">3.3 Asymmetric Time Horizons</w:t>
      </w:r>
    </w:p>
    <w:p>
      <w:pPr>
        <w:spacing w:after="120" w:before="0"/>
      </w:pPr>
      <w:r>
        <w:rPr>
          <w:b w:val="false"/>
          <w:bCs w:val="false"/>
          <w:i w:val="false"/>
          <w:iCs w:val="false"/>
        </w:rPr>
        <w:t xml:space="preserve">KA's investment thesis on Chamberlain is patient: hold-for-cash-flow with optionality for a 2030s sale or refinance. Our underwriting is built around the 2026-2045 TIF life and beyond. IDP's 2018 sale and current posture suggest a different horizon — one in which 2036-2045 cash flows are heavily discounted or perhaps not factored at all.</w:t>
      </w:r>
    </w:p>
    <w:p>
      <w:pPr>
        <w:spacing w:after="200" w:before="0"/>
      </w:pPr>
      <w:r>
        <w:rPr>
          <w:b w:val="false"/>
          <w:bCs w:val="false"/>
          <w:i w:val="false"/>
          <w:iCs w:val="false"/>
        </w:rPr>
        <w:t xml:space="preserve">If IDP's internal valuation of Chamberlain weights the next 5 years far more than the back 15 years, then their 10-year truncated analysis (and 8% discount rate) is internally consistent with their own time horizon — even if it is not the right framework for KA's interest in the asset.</w:t>
      </w:r>
    </w:p>
    <w:p>
      <w:pPr>
        <w:pStyle w:val="Heading2"/>
      </w:pPr>
      <w:r>
        <w:t xml:space="preserve">3.4 What This Pattern May Suggest</w:t>
      </w:r>
    </w:p>
    <w:p>
      <w:pPr>
        <w:spacing w:after="120" w:before="0"/>
      </w:pPr>
      <w:r>
        <w:rPr>
          <w:b w:val="false"/>
          <w:bCs w:val="false"/>
          <w:i w:val="false"/>
          <w:iCs w:val="false"/>
        </w:rPr>
        <w:t xml:space="preserve">Considered together, the 15-error pattern, the 2018 sale, the high discount rate, and the truncated horizon support a working hypothesis that:</w:t>
      </w:r>
    </w:p>
    <w:p>
      <w:pPr>
        <w:pStyle w:val="ListParagraph"/>
        <w:numPr>
          <w:ilvl w:val="0"/>
          <w:numId w:val="3"/>
        </w:numPr>
        <w:spacing w:after="60" w:before="60"/>
      </w:pPr>
      <w:r>
        <w:rPr>
          <w:b/>
          <w:bCs/>
        </w:rPr>
        <w:t xml:space="preserve">IDP may be operating under near-term cash flow constraints </w:t>
      </w:r>
      <w:r>
        <w:t xml:space="preserve">that make a $158K/year reduction in TIF receipts materially painful, even if the long-term NPV is positive.</w:t>
      </w:r>
    </w:p>
    <w:p>
      <w:pPr>
        <w:pStyle w:val="ListParagraph"/>
        <w:numPr>
          <w:ilvl w:val="0"/>
          <w:numId w:val="3"/>
        </w:numPr>
        <w:spacing w:after="60" w:before="60"/>
      </w:pPr>
      <w:r>
        <w:rPr>
          <w:b/>
          <w:bCs/>
        </w:rPr>
        <w:t xml:space="preserve">IDP may have specific obligations to 2018 investors </w:t>
      </w:r>
      <w:r>
        <w:t xml:space="preserve">that were underwritten on the no-appeal cash flow profile, and that IDP cannot unilaterally adjust.</w:t>
      </w:r>
    </w:p>
    <w:p>
      <w:pPr>
        <w:pStyle w:val="ListParagraph"/>
        <w:numPr>
          <w:ilvl w:val="0"/>
          <w:numId w:val="3"/>
        </w:numPr>
        <w:spacing w:after="60" w:before="60"/>
      </w:pPr>
      <w:r>
        <w:rPr>
          <w:b/>
          <w:bCs/>
        </w:rPr>
        <w:t xml:space="preserve">IDP may have assigned disproportionate TIF rights to 2018 investors </w:t>
      </w:r>
      <w:r>
        <w:t xml:space="preserve">in exchange for the 50% equity purchase — meaning IDP's effective TIF exposure exceeds what their JV ownership percentage suggests, and any TIF reduction is felt more acutely by IDP than the pro-rata math would predict.</w:t>
      </w:r>
    </w:p>
    <w:p>
      <w:pPr>
        <w:pStyle w:val="ListParagraph"/>
        <w:numPr>
          <w:ilvl w:val="0"/>
          <w:numId w:val="3"/>
        </w:numPr>
        <w:spacing w:after="60" w:before="60"/>
      </w:pPr>
      <w:r>
        <w:rPr>
          <w:b/>
          <w:bCs/>
        </w:rPr>
        <w:t xml:space="preserve">The pledge or assignment of TIF Note proceeds to a third party </w:t>
      </w:r>
      <w:r>
        <w:t xml:space="preserve">(as security for IDP debt or as cash flow assigned to investors) cannot be ruled out from the documents we have, and would also explain the strong preference for the higher-near-term-cash-flow scenario.</w:t>
      </w:r>
    </w:p>
    <w:p>
      <w:pPr>
        <w:spacing w:after="200" w:before="0"/>
      </w:pPr>
      <w:r>
        <w:rPr>
          <w:b w:val="false"/>
          <w:bCs w:val="false"/>
          <w:i/>
          <w:iCs/>
        </w:rPr>
        <w:t xml:space="preserve">We emphasize: these are hypotheses, not conclusions. Each is consistent with the observed evidence but none can be confirmed without information IDP has not yet provided. The next section addresses how we propose to close that information gap.</w:t>
      </w:r>
    </w:p>
    <w:p>
      <w:pPr>
        <w:pStyle w:val="Heading2"/>
      </w:pPr>
      <w:r>
        <w:t xml:space="preserve">3.5 The Operating Agreement Question</w:t>
      </w:r>
    </w:p>
    <w:p>
      <w:pPr>
        <w:spacing w:after="120" w:before="0"/>
      </w:pPr>
      <w:r>
        <w:rPr>
          <w:b w:val="false"/>
          <w:bCs w:val="false"/>
          <w:i w:val="false"/>
          <w:iCs w:val="false"/>
        </w:rPr>
        <w:t xml:space="preserve">Over the past several weeks, KA has formally requested IDP's entity-level operating agreement — the document governing IDP's internal ownership structure, including the terms under which 2018 investors hold their interest in IDP's Chamberlain position. IDP has not produced this document. Multiple requests have been made; each has been deflected or ignored.</w:t>
      </w:r>
    </w:p>
    <w:p>
      <w:pPr>
        <w:spacing w:after="120" w:before="0"/>
      </w:pPr>
      <w:r>
        <w:rPr>
          <w:b w:val="false"/>
          <w:bCs w:val="false"/>
          <w:i w:val="false"/>
          <w:iCs w:val="false"/>
        </w:rPr>
        <w:t xml:space="preserve">Standing alone, an entity-level operating agreement is reasonably treated as the issuing party's confidential business document, and a refusal to share would be unsurprising in normal course. In the present context, however, the refusal is more notable. The hypotheses in §3.4 — TIF pledged as collateral; disproportionate TIF assignment to 2018 investors; specific contractual obligations to those investors — can each be confirmed or eliminated by reviewing IDP's entity-level agreement. The document is the single highest-value piece of diligence available to KA on whether IDP's interests on Chamberlain remain aligned with our own.</w:t>
      </w:r>
    </w:p>
    <w:p>
      <w:pPr>
        <w:spacing w:after="120" w:before="0"/>
      </w:pPr>
      <w:r>
        <w:rPr>
          <w:b w:val="false"/>
          <w:bCs w:val="false"/>
          <w:i w:val="false"/>
          <w:iCs w:val="false"/>
        </w:rPr>
        <w:t xml:space="preserve">Where a JV partner is requesting that the LLC forgo a strategy with $5.5M of NPV value, and the partner's analytical justification contains 15 issues all biased toward that recommendation, and the partner is simultaneously declining to share the document that would confirm or refute the most plausible explanations for their position — those facts are reasonably read together. Obtaining IDP's operating agreement should move from "useful to have" to "necessary diligence" in our view.</w:t>
      </w:r>
    </w:p>
    <w:p>
      <w:pPr>
        <w:spacing w:after="200" w:before="0"/>
      </w:pPr>
      <w:r>
        <w:rPr>
          <w:b w:val="false"/>
          <w:bCs w:val="false"/>
          <w:i w:val="false"/>
          <w:iCs w:val="false"/>
        </w:rPr>
        <w:t xml:space="preserve">We note that KA's right to receive this document may exist under the JV Operating Agreement (depending on its information-rights provisions) or under more general partnership fiduciary doctrines. Nick Furia and JV counsel can advise on the exact basis and form of the request. The point for leadership is that the document is now operationally important to resolving this dispute, not merely informationally useful.</w:t>
      </w:r>
    </w:p>
    <w:p>
      <w:pPr>
        <w:pStyle w:val="Heading1"/>
      </w:pPr>
      <w:r>
        <w:t xml:space="preserve">4. Risk Assessment of the Recommended Strategy</w:t>
      </w:r>
    </w:p>
    <w:p>
      <w:pPr>
        <w:spacing w:after="120" w:before="0"/>
      </w:pPr>
      <w:r>
        <w:rPr>
          <w:b w:val="false"/>
          <w:bCs w:val="false"/>
          <w:i w:val="false"/>
          <w:iCs w:val="false"/>
        </w:rPr>
        <w:t xml:space="preserve">We have stress-tested the MAA Floor appeal strategy against several risk vectors. 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Risk Vector</w:t>
            </w:r>
          </w:p>
        </w:tc>
        <w:tc>
          <w:tcPr>
            <w:tcW w:type="dxa" w:w="30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Stress Test</w:t>
            </w:r>
          </w:p>
        </w:tc>
        <w:tc>
          <w:tcPr>
            <w:tcW w:type="dxa" w:w="396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Outcome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bCs/>
                <w:i w:val="false"/>
                <w:iCs w:val="false"/>
                <w:sz w:val="18"/>
                <w:szCs w:val="18"/>
              </w:rPr>
              <w:t xml:space="preserve">TIF Note doesn't pay off by 2045</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Test breakeven 2026 TMV at zero growth</w:t>
            </w:r>
          </w:p>
        </w:tc>
        <w:tc>
          <w:tcPr>
            <w:tcW w:type="dxa" w:w="3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Breakeven = $42.16M; MAA Floor at $43.835M provides 3.82% cushion. All scenarios pay off.</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bCs/>
                <w:i w:val="false"/>
                <w:iCs w:val="false"/>
                <w:sz w:val="18"/>
                <w:szCs w:val="18"/>
              </w:rPr>
              <w:t xml:space="preserve">Property value drops below MAA Floor</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Not legally possible — MAA Floor is contractual minimum binding on the assessor</w:t>
            </w:r>
          </w:p>
        </w:tc>
        <w:tc>
          <w:tcPr>
            <w:tcW w:type="dxa" w:w="3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No risk; MAA is the floor by recorded agreement</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bCs/>
                <w:i w:val="false"/>
                <w:iCs w:val="false"/>
                <w:sz w:val="18"/>
                <w:szCs w:val="18"/>
              </w:rPr>
              <w:t xml:space="preserve">County rejects appeal at MAA Floor</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MAA Floor is the contractual minimum; assessor cannot set value below it</w:t>
            </w:r>
          </w:p>
        </w:tc>
        <w:tc>
          <w:tcPr>
            <w:tcW w:type="dxa" w:w="3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Low risk; settle near MAA Floor likely</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bCs/>
                <w:i w:val="false"/>
                <w:iCs w:val="false"/>
                <w:sz w:val="18"/>
                <w:szCs w:val="18"/>
              </w:rPr>
              <w:t xml:space="preserve">Discount rate is actually 8% (IDP's number)</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Re-run NPV sensitivity at 8%</w:t>
            </w:r>
          </w:p>
        </w:tc>
        <w:tc>
          <w:tcPr>
            <w:tcW w:type="dxa" w:w="3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Benefit remains +$3.6M NPV (still strongly positive)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bCs/>
                <w:i w:val="false"/>
                <w:iCs w:val="false"/>
                <w:sz w:val="18"/>
                <w:szCs w:val="18"/>
              </w:rPr>
              <w:t xml:space="preserve">Higher attorney fees than 25%</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Even at 35%, total fees &lt; $700K vs. $5.5M NPV benefit</w:t>
            </w:r>
          </w:p>
        </w:tc>
        <w:tc>
          <w:tcPr>
            <w:tcW w:type="dxa" w:w="3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Robust to fee variation</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bCs/>
                <w:i w:val="false"/>
                <w:iCs w:val="false"/>
                <w:sz w:val="18"/>
                <w:szCs w:val="18"/>
              </w:rPr>
              <w:t xml:space="preserve">JV partner refuses to consent</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Operating Agreement / management triggers</w:t>
            </w:r>
          </w:p>
        </w:tc>
        <w:tc>
          <w:tcPr>
            <w:tcW w:type="dxa" w:w="3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Requires legal review; discussion in Section 5</w:t>
            </w:r>
          </w:p>
        </w:tc>
      </w:tr>
    </w:tbl>
    <w:p>
      <w:pPr>
        <w:spacing w:after="120" w:before="0"/>
      </w:pPr>
      <w:r>
        <w:rPr>
          <w:b w:val="false"/>
          <w:bCs w:val="false"/>
          <w:i w:val="false"/>
          <w:iCs w:val="false"/>
        </w:rPr>
        <w:t xml:space="preserve"/>
      </w:r>
    </w:p>
    <w:p>
      <w:pPr>
        <w:pStyle w:val="Heading3"/>
      </w:pPr>
      <w:r>
        <w:t xml:space="preserve">The TIF Note's Forgiveness Provision (Important)</w:t>
      </w:r>
    </w:p>
    <w:p>
      <w:pPr>
        <w:spacing w:after="120" w:before="0"/>
      </w:pPr>
      <w:r>
        <w:rPr>
          <w:b w:val="false"/>
          <w:bCs w:val="false"/>
          <w:i w:val="false"/>
          <w:iCs w:val="false"/>
        </w:rPr>
        <w:t xml:space="preserve">Per TIF Note §3, the Note is a 'limited revenue obligation.' Any balance unpaid at maturity (2/1/2046) is FORGIVEN — there is no event of default, no recourse to the LLC, no personal guarantee, and no obligation to repay any unpaid principal or interest beyond TIF actually received. This means:</w:t>
      </w:r>
    </w:p>
    <w:p>
      <w:pPr>
        <w:pStyle w:val="ListParagraph"/>
        <w:numPr>
          <w:ilvl w:val="0"/>
          <w:numId w:val="3"/>
        </w:numPr>
        <w:spacing w:after="60" w:before="60"/>
      </w:pPr>
      <w:r>
        <w:rPr>
          <w:b/>
          <w:bCs/>
        </w:rPr>
        <w:t xml:space="preserve">Even in a worst-case scenario where TIF doesn't cover the Note balance by 2045, </w:t>
      </w:r>
      <w:r>
        <w:t xml:space="preserve">the unpaid balance simply expires. There is no risk of an actual debt obligation to the City.</w:t>
      </w:r>
    </w:p>
    <w:p>
      <w:pPr>
        <w:pStyle w:val="ListParagraph"/>
        <w:numPr>
          <w:ilvl w:val="0"/>
          <w:numId w:val="3"/>
        </w:numPr>
        <w:spacing w:after="60" w:before="60"/>
      </w:pPr>
      <w:r>
        <w:rPr>
          <w:b/>
          <w:bCs/>
        </w:rPr>
        <w:t xml:space="preserve">The 'TIF Note risk' that may be implicit in IDP's analysis is not a real downside risk for KA. </w:t>
      </w:r>
      <w:r>
        <w:t xml:space="preserve">Any concern about 'leaving TIF money on the table' is a missed-opportunity concern, not a loss concern.</w:t>
      </w:r>
    </w:p>
    <w:p>
      <w:pPr>
        <w:spacing w:after="240" w:before="0"/>
      </w:pPr>
      <w:r>
        <w:rPr>
          <w:b w:val="false"/>
          <w:bCs w:val="false"/>
          <w:i w:val="false"/>
          <w:iCs w:val="false"/>
        </w:rPr>
        <w:t xml:space="preserve">This asymmetry is critical: the upside of appealing is real cash flow to ownership; the 'downside' is foregone TIF that wouldn't have created any obligation if the Note couldn't pay it.</w:t>
      </w:r>
    </w:p>
    <w:p>
      <w:pPr>
        <w:pStyle w:val="Heading1"/>
      </w:pPr>
      <w:r>
        <w:t xml:space="preserve">5. Recommended Path Forward</w:t>
      </w:r>
    </w:p>
    <w:p>
      <w:pPr>
        <w:pStyle w:val="ListParagraph"/>
        <w:numPr>
          <w:ilvl w:val="0"/>
          <w:numId w:val="4"/>
        </w:numPr>
        <w:spacing w:after="60" w:before="60"/>
      </w:pPr>
      <w:r>
        <w:rPr>
          <w:b/>
          <w:bCs/>
        </w:rPr>
        <w:t xml:space="preserve">Engage Ehlers for independent third-party review. </w:t>
      </w:r>
      <w:r>
        <w:t xml:space="preserve">As the City's neutral TIF consultant, Ehlers is positioned to resolve the technical disagreement between KA and IDP objectively. Our Technical Memo (Memo #1) is prepared to be shared with Ehlers under appropriate cover. This both validates our analysis and depoliticizes the JV discussion.</w:t>
      </w:r>
    </w:p>
    <w:p>
      <w:pPr>
        <w:pStyle w:val="ListParagraph"/>
        <w:numPr>
          <w:ilvl w:val="0"/>
          <w:numId w:val="4"/>
        </w:numPr>
        <w:spacing w:after="60" w:before="60"/>
      </w:pPr>
      <w:r>
        <w:rPr>
          <w:b/>
          <w:bCs/>
        </w:rPr>
        <w:t xml:space="preserve">Coordinate with Nick Furia on appeal settlement strategy. </w:t>
      </w:r>
      <w:r>
        <w:t xml:space="preserve">Nick has filed the appeal petition with Hennepin County before the April 30, 2026 deadline and is holding before agreeing to any specific settlement value pending resolution of the JV dispute. He is aware of IDP's concerns and is positioned to negotiate to a wide range of outcomes — including, per his most recent assessment, a settlement value below $50M and possibly approaching the MAA Floor. KA's authorization on appeal target range should be communicated to Nick once leadership has determined direction.</w:t>
      </w:r>
    </w:p>
    <w:p>
      <w:pPr>
        <w:pStyle w:val="ListParagraph"/>
        <w:numPr>
          <w:ilvl w:val="0"/>
          <w:numId w:val="4"/>
        </w:numPr>
        <w:spacing w:after="60" w:before="60"/>
      </w:pPr>
      <w:r>
        <w:rPr>
          <w:b/>
          <w:bCs/>
        </w:rPr>
        <w:t xml:space="preserve">Formally request IDP's operating agreement. </w:t>
      </w:r>
      <w:r>
        <w:t xml:space="preserve">Per §3.5 above, this document is now operationally critical to resolving the dispute. We recommend a written request from Nick or JV counsel that (a) cites the basis for KA's information rights and (b) makes clear that continued non-production will be material to KA's evaluation of IDP's good-faith participation in the JV. If IDP refuses, that refusal itself becomes a data point of significance equal to any answer the document might contain.</w:t>
      </w:r>
    </w:p>
    <w:p>
      <w:pPr>
        <w:pStyle w:val="ListParagraph"/>
        <w:numPr>
          <w:ilvl w:val="0"/>
          <w:numId w:val="4"/>
        </w:numPr>
        <w:spacing w:after="60" w:before="60"/>
      </w:pPr>
      <w:r>
        <w:rPr>
          <w:b/>
          <w:bCs/>
        </w:rPr>
        <w:t xml:space="preserve">Surface the pattern with IDP through appropriate channels. </w:t>
      </w:r>
      <w:r>
        <w:t xml:space="preserve">We recommend a small set of diagnostic questions be raised with IDP leadership (verbally or via counsel, depending on legal advice) before formal JV escalation:</w:t>
      </w:r>
    </w:p>
    <w:p>
      <w:pPr>
        <w:spacing w:after="120" w:before="0"/>
      </w:pPr>
      <w:r>
        <w:rPr>
          <w:b w:val="false"/>
          <w:bCs w:val="false"/>
          <w:i w:val="false"/>
          <w:iCs w:val="false"/>
        </w:rPr>
        <w:t xml:space="preserve"/>
      </w:r>
    </w:p>
    <w:p>
      <w:pPr>
        <w:spacing w:after="60" w:before="0"/>
      </w:pPr>
      <w:r>
        <w:rPr>
          <w:b/>
          <w:bCs/>
          <w:i w:val="false"/>
          <w:iCs w:val="false"/>
          <w:sz w:val="20"/>
          <w:szCs w:val="20"/>
        </w:rPr>
        <w:t xml:space="preserve">Suggested diagnostic questions (illustrative):</w:t>
      </w:r>
    </w:p>
    <w:p>
      <w:pPr>
        <w:pStyle w:val="ListParagraph"/>
        <w:numPr>
          <w:ilvl w:val="0"/>
          <w:numId w:val="3"/>
        </w:numPr>
        <w:spacing w:after="60" w:before="60"/>
      </w:pPr>
      <w:r>
        <w:rPr>
          <w:b w:val="false"/>
          <w:bCs w:val="false"/>
          <w:i w:val="false"/>
          <w:iCs w:val="false"/>
        </w:rPr>
        <w:t xml:space="preserve">"Have any rights, interests, or cash flow entitlements associated with the TIF Note or LLC equity been pledged, sold, encumbered, or assigned to any third party since 2018? If so, can we review those agreements?"</w:t>
      </w:r>
    </w:p>
    <w:p>
      <w:pPr>
        <w:pStyle w:val="ListParagraph"/>
        <w:numPr>
          <w:ilvl w:val="0"/>
          <w:numId w:val="3"/>
        </w:numPr>
        <w:spacing w:after="60" w:before="60"/>
      </w:pPr>
      <w:r>
        <w:rPr>
          <w:b w:val="false"/>
          <w:bCs w:val="false"/>
          <w:i w:val="false"/>
          <w:iCs w:val="false"/>
        </w:rPr>
        <w:t xml:space="preserve">"What are the economic terms of the 2018 assignment — particularly any provisions allocating TIF Note distributions to the new investors disproportionate to their equity ownership?"</w:t>
      </w:r>
    </w:p>
    <w:p>
      <w:pPr>
        <w:pStyle w:val="ListParagraph"/>
        <w:numPr>
          <w:ilvl w:val="0"/>
          <w:numId w:val="3"/>
        </w:numPr>
        <w:spacing w:after="60" w:before="60"/>
      </w:pPr>
      <w:r>
        <w:rPr>
          <w:b w:val="false"/>
          <w:bCs w:val="false"/>
          <w:i w:val="false"/>
          <w:iCs w:val="false"/>
        </w:rPr>
        <w:t xml:space="preserve">"Can you walk us through why an 8% discount rate is appropriate for the Chamberlain hold, given our patient-capital underwriting approach?"</w:t>
      </w:r>
    </w:p>
    <w:p>
      <w:pPr>
        <w:pStyle w:val="ListParagraph"/>
        <w:numPr>
          <w:ilvl w:val="0"/>
          <w:numId w:val="3"/>
        </w:numPr>
        <w:spacing w:after="60" w:before="60"/>
      </w:pPr>
      <w:r>
        <w:rPr>
          <w:b w:val="false"/>
          <w:bCs w:val="false"/>
          <w:i w:val="false"/>
          <w:iCs w:val="false"/>
        </w:rPr>
        <w:t xml:space="preserve">"Have you reviewed Ehlers' April 2026 TIF Update? Their methodology produces a different conclusion than your model — would you be open to a joint walk-through with Ehlers?"</w:t>
      </w:r>
    </w:p>
    <w:p>
      <w:pPr>
        <w:spacing w:after="200" w:before="0"/>
      </w:pPr>
      <w:r>
        <w:rPr>
          <w:b w:val="false"/>
          <w:bCs w:val="false"/>
          <w:i/>
          <w:iCs/>
        </w:rPr>
        <w:t xml:space="preserve">These questions are factual and analytically grounded. They are appropriate for a JV partner conversation and do not require any accusatory framing. Responses (or non-responses) will be informative.</w:t>
      </w:r>
    </w:p>
    <w:p>
      <w:pPr>
        <w:pStyle w:val="ListParagraph"/>
        <w:numPr>
          <w:ilvl w:val="0"/>
          <w:numId w:val="4"/>
        </w:numPr>
        <w:spacing w:after="60" w:before="60"/>
      </w:pPr>
      <w:r>
        <w:rPr>
          <w:b/>
          <w:bCs/>
        </w:rPr>
        <w:t xml:space="preserve">Pursue the MAA Floor strategy. </w:t>
      </w:r>
      <w:r>
        <w:t xml:space="preserve">Subject to JV approval (or successful resolution of the JV impasse), proceed with appeal to the MAA Floor of $43,835,000. Retain qualified Minnesota property tax counsel on a standard 25%-of-one-year-savings contingency arrangement.</w:t>
      </w:r>
    </w:p>
    <w:p>
      <w:pPr>
        <w:pStyle w:val="ListParagraph"/>
        <w:numPr>
          <w:ilvl w:val="0"/>
          <w:numId w:val="4"/>
        </w:numPr>
        <w:spacing w:after="60" w:before="60"/>
      </w:pPr>
      <w:r>
        <w:rPr>
          <w:b/>
          <w:bCs/>
        </w:rPr>
        <w:t xml:space="preserve">Legal review of JV consent mechanics. </w:t>
      </w:r>
      <w:r>
        <w:t xml:space="preserve">Engage Nick Furia and JV counsel to review the Operating Agreement's provisions on (a) major decisions and consent requirements, (b) deadlock resolution, and (c) IDP's compliance with its consent obligations since the 2018 sale. This is not contingent on the appeal decision — it is appropriate due diligence regardless.</w:t>
      </w:r>
    </w:p>
    <w:p>
      <w:pPr>
        <w:spacing w:after="120" w:before="0"/>
      </w:pPr>
      <w:r>
        <w:rPr>
          <w:b w:val="false"/>
          <w:bCs w:val="false"/>
          <w:i w:val="false"/>
          <w:iCs w:val="false"/>
        </w:rPr>
        <w:t xml:space="preserve"/>
      </w:r>
    </w:p>
    <w:p>
      <w:pPr>
        <w:pStyle w:val="Heading1"/>
      </w:pPr>
      <w:r>
        <w:t xml:space="preserve">6. What's at Stake</w:t>
      </w:r>
    </w:p>
    <w:p>
      <w:pPr>
        <w:spacing w:after="120" w:before="0"/>
      </w:pPr>
      <w:r>
        <w:rPr>
          <w:b w:val="false"/>
          <w:bCs w:val="false"/>
          <w:i w:val="false"/>
          <w:iCs w:val="false"/>
        </w:rPr>
        <w:t xml:space="preserve">The decision in front of leadership is a clean one. We have:</w:t>
      </w:r>
    </w:p>
    <w:p>
      <w:pPr>
        <w:pStyle w:val="ListParagraph"/>
        <w:numPr>
          <w:ilvl w:val="0"/>
          <w:numId w:val="3"/>
        </w:numPr>
        <w:spacing w:after="60" w:before="60"/>
      </w:pPr>
      <w:r>
        <w:rPr>
          <w:b/>
          <w:bCs/>
        </w:rPr>
        <w:t xml:space="preserve">A documented technical case </w:t>
      </w:r>
      <w:r>
        <w:t xml:space="preserve">for $5.5M of NPV value (after fees) from a strategy with no meaningful downside.</w:t>
      </w:r>
    </w:p>
    <w:p>
      <w:pPr>
        <w:pStyle w:val="ListParagraph"/>
        <w:numPr>
          <w:ilvl w:val="0"/>
          <w:numId w:val="3"/>
        </w:numPr>
        <w:spacing w:after="60" w:before="60"/>
      </w:pPr>
      <w:r>
        <w:rPr>
          <w:b/>
          <w:bCs/>
        </w:rPr>
        <w:t xml:space="preserve">A reconciliation to Ehlers' published figures </w:t>
      </w:r>
      <w:r>
        <w:t xml:space="preserve">to within $86 across every published metric — meaning our methodology is the City's methodology.</w:t>
      </w:r>
    </w:p>
    <w:p>
      <w:pPr>
        <w:pStyle w:val="ListParagraph"/>
        <w:numPr>
          <w:ilvl w:val="0"/>
          <w:numId w:val="3"/>
        </w:numPr>
        <w:spacing w:after="60" w:before="60"/>
      </w:pPr>
      <w:r>
        <w:rPr>
          <w:b/>
          <w:bCs/>
        </w:rPr>
        <w:t xml:space="preserve">A JV partner whose analysis recommends against the strategy, </w:t>
      </w:r>
      <w:r>
        <w:t xml:space="preserve">but whose analysis contains 15 identifiable technical issues, all biased the same direction.</w:t>
      </w:r>
    </w:p>
    <w:p>
      <w:pPr>
        <w:pStyle w:val="ListParagraph"/>
        <w:numPr>
          <w:ilvl w:val="0"/>
          <w:numId w:val="3"/>
        </w:numPr>
        <w:spacing w:after="60" w:before="60"/>
      </w:pPr>
      <w:r>
        <w:rPr>
          <w:b/>
          <w:bCs/>
        </w:rPr>
        <w:t xml:space="preserve">A circumstantial picture </w:t>
      </w:r>
      <w:r>
        <w:t xml:space="preserve">(2018 sale without consent, 8% discount rate, struggling related developments, hyper-focus on TIF mechanics, and stonewalling on the operating agreement request) that warrants — though does not prove — concern about whether IDP's interests on Chamberlain remain aligned with ours.</w:t>
      </w:r>
    </w:p>
    <w:p>
      <w:pPr>
        <w:spacing w:after="120" w:before="0"/>
      </w:pPr>
      <w:r>
        <w:rPr>
          <w:b w:val="false"/>
          <w:bCs w:val="false"/>
          <w:i w:val="false"/>
          <w:iCs w:val="false"/>
        </w:rPr>
        <w:t xml:space="preserve"/>
      </w:r>
    </w:p>
    <w:p>
      <w:pPr>
        <w:spacing w:after="120" w:before="0"/>
      </w:pPr>
      <w:r>
        <w:rPr>
          <w:b w:val="false"/>
          <w:bCs w:val="false"/>
          <w:i w:val="false"/>
          <w:iCs w:val="false"/>
        </w:rPr>
        <w:t xml:space="preserve">The recommended path preserves KA's economic position, surfaces information through appropriate channels, and resolves the technical disagreement through a neutral third party. It does not require — at this stage — any direct confrontation with IDP, but it does require us to stop deferring to their analysis as definitive.</w:t>
      </w:r>
    </w:p>
    <w:p>
      <w:pPr>
        <w:spacing w:after="120" w:before="0"/>
      </w:pPr>
      <w:r>
        <w:rPr>
          <w:b w:val="false"/>
          <w:bCs w:val="false"/>
          <w:i w:val="false"/>
          <w:iCs w:val="false"/>
        </w:rPr>
        <w:t xml:space="preserve"/>
      </w:r>
    </w:p>
    <w:p>
      <w:pPr>
        <w:spacing w:after="200" w:before="0"/>
      </w:pPr>
      <w:r>
        <w:rPr>
          <w:b/>
          <w:bCs/>
          <w:i w:val="false"/>
          <w:iCs w:val="false"/>
        </w:rPr>
        <w:t xml:space="preserve">We recommend leadership authorize: (1) Ehlers engagement to obtain a neutral third-party validation of our analysis, (2) a formal written request to IDP for their entity-level operating agreement with appropriate legal framing, (3) targeted diagnostic conversations with IDP per Section 5, and (4) communicating an authorized appeal-settlement range to Nick Furia. The MAA Floor appeal decision itself can follow Ehlers' confirmation.</w:t>
      </w:r>
    </w:p>
    <w:p>
      <w:pPr>
        <w:pBdr>
          <w:bottom w:val="single" w:color="1F4E78" w:sz="6" w:space="1"/>
        </w:pBdr>
        <w:spacing w:after="120" w:before="120"/>
      </w:pPr>
      <w:r>
        <w:t xml:space="preserve"/>
      </w:r>
    </w:p>
    <w:p>
      <w:pPr>
        <w:pStyle w:val="Heading2"/>
      </w:pPr>
      <w:r>
        <w:t xml:space="preserve">Attachments</w:t>
      </w:r>
    </w:p>
    <w:p>
      <w:pPr>
        <w:pStyle w:val="ListParagraph"/>
        <w:numPr>
          <w:ilvl w:val="0"/>
          <w:numId w:val="3"/>
        </w:numPr>
        <w:spacing w:after="60" w:before="60"/>
      </w:pPr>
      <w:r>
        <w:rPr>
          <w:b/>
          <w:bCs/>
        </w:rPr>
        <w:t xml:space="preserve">Memo #1 — </w:t>
      </w:r>
      <w:r>
        <w:t xml:space="preserve">Technical TIF/Tax analysis (Ehlers-facing version)</w:t>
      </w:r>
    </w:p>
    <w:p>
      <w:pPr>
        <w:pStyle w:val="ListParagraph"/>
        <w:numPr>
          <w:ilvl w:val="0"/>
          <w:numId w:val="3"/>
        </w:numPr>
        <w:spacing w:after="60" w:before="60"/>
      </w:pPr>
      <w:r>
        <w:rPr>
          <w:b/>
          <w:bCs/>
        </w:rPr>
        <w:t xml:space="preserve">Addendum A — </w:t>
      </w:r>
      <w:r>
        <w:t xml:space="preserve">Cell-by-cell forensic teardown of IDP's analysis</w:t>
      </w:r>
    </w:p>
    <w:p>
      <w:pPr>
        <w:pStyle w:val="ListParagraph"/>
        <w:numPr>
          <w:ilvl w:val="0"/>
          <w:numId w:val="3"/>
        </w:numPr>
        <w:spacing w:after="60" w:before="60"/>
      </w:pPr>
      <w:r>
        <w:rPr>
          <w:b/>
          <w:bCs/>
        </w:rPr>
        <w:t xml:space="preserve">Addendum B — </w:t>
      </w:r>
      <w:r>
        <w:t xml:space="preserve">KA analysis backup, source citations, full scenario detail</w:t>
      </w:r>
    </w:p>
    <w:p>
      <w:pPr>
        <w:pStyle w:val="ListParagraph"/>
        <w:numPr>
          <w:ilvl w:val="0"/>
          <w:numId w:val="3"/>
        </w:numPr>
        <w:spacing w:after="60" w:before="60"/>
      </w:pPr>
      <w:r>
        <w:rPr>
          <w:b/>
          <w:bCs/>
        </w:rPr>
        <w:t xml:space="preserve">Chamberlain_Live_TIF_Model.xlsx — </w:t>
      </w:r>
      <w:r>
        <w:t xml:space="preserve">Full Excel model</w:t>
      </w:r>
    </w:p>
    <w:p>
      <w:pPr>
        <w:spacing w:after="120" w:before="0"/>
      </w:pPr>
      <w:r>
        <w:rPr>
          <w:b w:val="false"/>
          <w:bCs w:val="false"/>
          <w:i w:val="false"/>
          <w:iCs w:val="false"/>
        </w:rPr>
        <w:t xml:space="preserve"/>
      </w:r>
    </w:p>
    <w:p>
      <w:pPr>
        <w:spacing w:after="120" w:before="0"/>
      </w:pPr>
      <w:r>
        <w:rPr>
          <w:b w:val="false"/>
          <w:bCs w:val="false"/>
          <w:i w:val="false"/>
          <w:iCs w:val="false"/>
        </w:rPr>
        <w:t xml:space="preserve"/>
      </w:r>
    </w:p>
    <w:p>
      <w:pPr>
        <w:spacing w:after="120" w:before="0"/>
        <w:jc w:val="center"/>
      </w:pPr>
      <w:r>
        <w:rPr>
          <w:b w:val="false"/>
          <w:bCs w:val="false"/>
          <w:i/>
          <w:iCs/>
          <w:color w:val="595959"/>
          <w:sz w:val="18"/>
          <w:szCs w:val="18"/>
        </w:rPr>
        <w:t xml:space="preserve">This memo is privileged and confidential. Prepared in anticipation of potential litigation or JV dispute resolution. Counsel involvement: Nick Furia. Distribution: KA leadership / ownership only. Do not forward without counsel approval.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Chamberlain — Strategic Memo for Leadership  |  </w:t>
    </w:r>
    <w:r>
      <w:rPr>
        <w:b/>
        <w:bCs/>
        <w:color w:val="C00000"/>
        <w:sz w:val="16"/>
        <w:szCs w:val="16"/>
      </w:rPr>
      <w:t xml:space="preserve">PRIVILEGED &amp; CONFIDENTIAL — INTERNAL USE ONLY</w:t>
    </w:r>
    <w:r>
      <w:rPr>
        <w:color w:val="808080"/>
        <w:sz w:val="16"/>
        <w:szCs w:val="16"/>
      </w:rPr>
      <w:t xml:space="preserve">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4" w:space="4"/>
      </w:pBdr>
      <w:jc w:val="left"/>
    </w:pPr>
    <w:r>
      <w:rPr>
        <w:b/>
        <w:bCs/>
        <w:color w:val="1F4E78"/>
        <w:sz w:val="18"/>
        <w:szCs w:val="18"/>
      </w:rPr>
      <w:t xml:space="preserve">CHAMBERLAIN APARTMENTS  </w:t>
    </w:r>
    <w:r>
      <w:rPr>
        <w:color w:val="808080"/>
        <w:sz w:val="16"/>
        <w:szCs w:val="16"/>
      </w:rPr>
      <w:t xml:space="preserve"> |  Kraus-Anderson Asset Management  |  Chamberlain — Strategic Memo for Leadership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4E78"/>
      <w:sz w:val="23"/>
      <w:szCs w:val="23"/>
    </w:rPr>
  </w:style>
  <w:style w:type="paragraph" w:styleId="Heading4">
    <w:name w:val="Heading 4"/>
    <w:basedOn w:val="Normal"/>
    <w:next w:val="Normal"/>
    <w:qFormat/>
    <w:pPr>
      <w:spacing w:after="60" w:before="12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2026-05-13T16:01:18.386Z</dcterms:created>
  <dcterms:modified xsi:type="dcterms:W3CDTF">2026-05-13T16:01:18.386Z</dcterms:modified>
</cp:coreProperties>
</file>

<file path=docProps/custom.xml><?xml version="1.0" encoding="utf-8"?>
<Properties xmlns="http://schemas.openxmlformats.org/officeDocument/2006/custom-properties" xmlns:vt="http://schemas.openxmlformats.org/officeDocument/2006/docPropsVTypes"/>
</file>