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color w:val="1F4E78"/>
          <w:sz w:val="32"/>
          <w:szCs w:val="32"/>
        </w:rPr>
        <w:t xml:space="preserve">MEMORANDUM</w:t>
      </w:r>
    </w:p>
    <w:p>
      <w:pPr>
        <w:spacing w:after="60" w:before="0"/>
        <w:jc w:val="center"/>
      </w:pPr>
      <w:r>
        <w:rPr>
          <w:b/>
          <w:bCs/>
          <w:color w:val="1F4E78"/>
          <w:sz w:val="24"/>
          <w:szCs w:val="24"/>
        </w:rPr>
        <w:t xml:space="preserve">Chamberlain Apartments — TIF &amp; Tax Appeal Technical Analysis</w:t>
      </w:r>
    </w:p>
    <w:p>
      <w:pPr>
        <w:spacing w:after="160" w:before="0"/>
        <w:jc w:val="center"/>
      </w:pPr>
      <w:r>
        <w:rPr>
          <w:i/>
          <w:iCs/>
          <w:color w:val="555555"/>
          <w:sz w:val="20"/>
          <w:szCs w:val="20"/>
        </w:rPr>
        <w:t xml:space="preserve">Request for Ehlers' Methodological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tcMar>
              <w:top w:type="dxa" w:w="20"/>
              <w:left w:type="dxa" w:w="0"/>
              <w:bottom w:type="dxa" w:w="20"/>
              <w:right w:type="dxa" w:w="80"/>
            </w:tcMar>
          </w:tcPr>
          <w:p>
            <w:r>
              <w:rPr>
                <w:b/>
                <w:bCs/>
                <w:sz w:val="20"/>
                <w:szCs w:val="20"/>
              </w:rPr>
              <w:t xml:space="preserve">TO:</w:t>
            </w:r>
          </w:p>
        </w:tc>
        <w:tc>
          <w:tcPr>
            <w:tcW w:type="dxa" w:w="8060"/>
            <w:tcBorders>
              <w:top w:val="none" w:color="FFFFFF" w:sz="0"/>
              <w:left w:val="none" w:color="FFFFFF" w:sz="0"/>
              <w:bottom w:val="none" w:color="FFFFFF" w:sz="0"/>
              <w:right w:val="none" w:color="FFFFFF" w:sz="0"/>
            </w:tcBorders>
            <w:tcMar>
              <w:top w:type="dxa" w:w="20"/>
              <w:left w:type="dxa" w:w="0"/>
              <w:bottom w:type="dxa" w:w="20"/>
              <w:right w:type="dxa" w:w="0"/>
            </w:tcMar>
          </w:tcPr>
          <w:p>
            <w:r>
              <w:rPr>
                <w:sz w:val="20"/>
                <w:szCs w:val="20"/>
              </w:rPr>
              <w:t xml:space="preserve">Ehlers Inc. — City of Richfield TIF Consultant</w:t>
            </w:r>
          </w:p>
        </w:tc>
      </w:tr>
      <w:tr>
        <w:tc>
          <w:tcPr>
            <w:tcW w:type="dxa" w:w="1300"/>
            <w:tcBorders>
              <w:top w:val="none" w:color="FFFFFF" w:sz="0"/>
              <w:left w:val="none" w:color="FFFFFF" w:sz="0"/>
              <w:bottom w:val="none" w:color="FFFFFF" w:sz="0"/>
              <w:right w:val="none" w:color="FFFFFF" w:sz="0"/>
            </w:tcBorders>
            <w:tcMar>
              <w:top w:type="dxa" w:w="20"/>
              <w:left w:type="dxa" w:w="0"/>
              <w:bottom w:type="dxa" w:w="20"/>
              <w:right w:type="dxa" w:w="80"/>
            </w:tcMar>
          </w:tcPr>
          <w:p>
            <w:r>
              <w:rPr>
                <w:b/>
                <w:bCs/>
                <w:sz w:val="20"/>
                <w:szCs w:val="20"/>
              </w:rPr>
              <w:t xml:space="preserve">FROM:</w:t>
            </w:r>
          </w:p>
        </w:tc>
        <w:tc>
          <w:tcPr>
            <w:tcW w:type="dxa" w:w="8060"/>
            <w:tcBorders>
              <w:top w:val="none" w:color="FFFFFF" w:sz="0"/>
              <w:left w:val="none" w:color="FFFFFF" w:sz="0"/>
              <w:bottom w:val="none" w:color="FFFFFF" w:sz="0"/>
              <w:right w:val="none" w:color="FFFFFF" w:sz="0"/>
            </w:tcBorders>
            <w:tcMar>
              <w:top w:type="dxa" w:w="20"/>
              <w:left w:type="dxa" w:w="0"/>
              <w:bottom w:type="dxa" w:w="20"/>
              <w:right w:type="dxa" w:w="0"/>
            </w:tcMar>
          </w:tcPr>
          <w:p>
            <w:r>
              <w:rPr>
                <w:sz w:val="20"/>
                <w:szCs w:val="20"/>
              </w:rPr>
              <w:t xml:space="preserve">Kraus-Anderson Asset Management</w:t>
            </w:r>
          </w:p>
        </w:tc>
      </w:tr>
      <w:tr>
        <w:tc>
          <w:tcPr>
            <w:tcW w:type="dxa" w:w="1300"/>
            <w:tcBorders>
              <w:top w:val="none" w:color="FFFFFF" w:sz="0"/>
              <w:left w:val="none" w:color="FFFFFF" w:sz="0"/>
              <w:bottom w:val="none" w:color="FFFFFF" w:sz="0"/>
              <w:right w:val="none" w:color="FFFFFF" w:sz="0"/>
            </w:tcBorders>
            <w:tcMar>
              <w:top w:type="dxa" w:w="20"/>
              <w:left w:type="dxa" w:w="0"/>
              <w:bottom w:type="dxa" w:w="20"/>
              <w:right w:type="dxa" w:w="80"/>
            </w:tcMar>
          </w:tcPr>
          <w:p>
            <w:r>
              <w:rPr>
                <w:b/>
                <w:bCs/>
                <w:sz w:val="20"/>
                <w:szCs w:val="20"/>
              </w:rPr>
              <w:t xml:space="preserve">CC:</w:t>
            </w:r>
          </w:p>
        </w:tc>
        <w:tc>
          <w:tcPr>
            <w:tcW w:type="dxa" w:w="8060"/>
            <w:tcBorders>
              <w:top w:val="none" w:color="FFFFFF" w:sz="0"/>
              <w:left w:val="none" w:color="FFFFFF" w:sz="0"/>
              <w:bottom w:val="none" w:color="FFFFFF" w:sz="0"/>
              <w:right w:val="none" w:color="FFFFFF" w:sz="0"/>
            </w:tcBorders>
            <w:tcMar>
              <w:top w:type="dxa" w:w="20"/>
              <w:left w:type="dxa" w:w="0"/>
              <w:bottom w:type="dxa" w:w="20"/>
              <w:right w:type="dxa" w:w="0"/>
            </w:tcMar>
          </w:tcPr>
          <w:p>
            <w:r>
              <w:rPr>
                <w:sz w:val="20"/>
                <w:szCs w:val="20"/>
              </w:rPr>
              <w:t xml:space="preserve">Nick Furia, Esq. (KA Tax Counsel)</w:t>
            </w:r>
          </w:p>
        </w:tc>
      </w:tr>
      <w:tr>
        <w:tc>
          <w:tcPr>
            <w:tcW w:type="dxa" w:w="1300"/>
            <w:tcBorders>
              <w:top w:val="none" w:color="FFFFFF" w:sz="0"/>
              <w:left w:val="none" w:color="FFFFFF" w:sz="0"/>
              <w:bottom w:val="none" w:color="FFFFFF" w:sz="0"/>
              <w:right w:val="none" w:color="FFFFFF" w:sz="0"/>
            </w:tcBorders>
            <w:tcMar>
              <w:top w:type="dxa" w:w="20"/>
              <w:left w:type="dxa" w:w="0"/>
              <w:bottom w:type="dxa" w:w="20"/>
              <w:right w:type="dxa" w:w="80"/>
            </w:tcMar>
          </w:tcPr>
          <w:p>
            <w:r>
              <w:rPr>
                <w:b/>
                <w:bCs/>
                <w:sz w:val="20"/>
                <w:szCs w:val="20"/>
              </w:rPr>
              <w:t xml:space="preserve">RE:</w:t>
            </w:r>
          </w:p>
        </w:tc>
        <w:tc>
          <w:tcPr>
            <w:tcW w:type="dxa" w:w="8060"/>
            <w:tcBorders>
              <w:top w:val="none" w:color="FFFFFF" w:sz="0"/>
              <w:left w:val="none" w:color="FFFFFF" w:sz="0"/>
              <w:bottom w:val="none" w:color="FFFFFF" w:sz="0"/>
              <w:right w:val="none" w:color="FFFFFF" w:sz="0"/>
            </w:tcBorders>
            <w:tcMar>
              <w:top w:type="dxa" w:w="20"/>
              <w:left w:type="dxa" w:w="0"/>
              <w:bottom w:type="dxa" w:w="20"/>
              <w:right w:type="dxa" w:w="0"/>
            </w:tcMar>
          </w:tcPr>
          <w:p>
            <w:r>
              <w:rPr>
                <w:sz w:val="20"/>
                <w:szCs w:val="20"/>
              </w:rPr>
              <w:t xml:space="preserve">Chamberlain Apartments TIF District — Methodological Review of KA's Tax Appeal Impact Model</w:t>
            </w:r>
          </w:p>
        </w:tc>
      </w:tr>
      <w:tr>
        <w:tc>
          <w:tcPr>
            <w:tcW w:type="dxa" w:w="1300"/>
            <w:tcBorders>
              <w:top w:val="none" w:color="FFFFFF" w:sz="0"/>
              <w:left w:val="none" w:color="FFFFFF" w:sz="0"/>
              <w:bottom w:val="none" w:color="FFFFFF" w:sz="0"/>
              <w:right w:val="none" w:color="FFFFFF" w:sz="0"/>
            </w:tcBorders>
            <w:tcMar>
              <w:top w:type="dxa" w:w="20"/>
              <w:left w:type="dxa" w:w="0"/>
              <w:bottom w:type="dxa" w:w="20"/>
              <w:right w:type="dxa" w:w="80"/>
            </w:tcMar>
          </w:tcPr>
          <w:p>
            <w:r>
              <w:rPr>
                <w:b/>
                <w:bCs/>
                <w:sz w:val="20"/>
                <w:szCs w:val="20"/>
              </w:rPr>
              <w:t xml:space="preserve">DATE:</w:t>
            </w:r>
          </w:p>
        </w:tc>
        <w:tc>
          <w:tcPr>
            <w:tcW w:type="dxa" w:w="8060"/>
            <w:tcBorders>
              <w:top w:val="none" w:color="FFFFFF" w:sz="0"/>
              <w:left w:val="none" w:color="FFFFFF" w:sz="0"/>
              <w:bottom w:val="none" w:color="FFFFFF" w:sz="0"/>
              <w:right w:val="none" w:color="FFFFFF" w:sz="0"/>
            </w:tcBorders>
            <w:tcMar>
              <w:top w:type="dxa" w:w="20"/>
              <w:left w:type="dxa" w:w="0"/>
              <w:bottom w:type="dxa" w:w="20"/>
              <w:right w:type="dxa" w:w="0"/>
            </w:tcMar>
          </w:tcPr>
          <w:p>
            <w:r>
              <w:rPr>
                <w:sz w:val="20"/>
                <w:szCs w:val="20"/>
              </w:rPr>
              <w:t xml:space="preserve">May 12, 2026</w:t>
            </w:r>
          </w:p>
        </w:tc>
      </w:tr>
    </w:tbl>
    <w:p>
      <w:pPr>
        <w:pBdr>
          <w:bottom w:val="single" w:color="1F4E78" w:sz="6" w:space="1"/>
        </w:pBdr>
        <w:spacing w:after="100" w:before="100"/>
      </w:pPr>
      <w:r>
        <w:t xml:space="preserve"/>
      </w:r>
    </w:p>
    <w:p>
      <w:pPr>
        <w:pStyle w:val="Heading1"/>
      </w:pPr>
      <w:r>
        <w:t xml:space="preserve">1. Request</w:t>
      </w:r>
    </w:p>
    <w:p>
      <w:pPr>
        <w:spacing w:after="80" w:before="0"/>
      </w:pPr>
      <w:r>
        <w:rPr>
          <w:b w:val="false"/>
          <w:bCs w:val="false"/>
          <w:i w:val="false"/>
          <w:iCs w:val="false"/>
        </w:rPr>
        <w:t xml:space="preserve">Kraus-Anderson, as managing member of Chamberlain Apartments LLC, has been working through the financial implications of the 2026 property tax appeal we have filed for the Chamberlain Apartments project. Our tax counsel, Nick Furia, filed the appeal petition with Hennepin County before the April 30, 2026 deadline to preserve our procedural rights. The petition is pending. No settlement value has been agreed to, and Nick is holding before agreeing to any specific appeal value pending resolution of an internal partnership disagreement on appeal strategy that we are working through separately.</w:t>
      </w:r>
    </w:p>
    <w:p>
      <w:pPr>
        <w:spacing w:after="80" w:before="0"/>
      </w:pPr>
      <w:r>
        <w:rPr>
          <w:b w:val="false"/>
          <w:bCs w:val="false"/>
          <w:i w:val="false"/>
          <w:iCs w:val="false"/>
        </w:rPr>
        <w:t xml:space="preserve">Before KA finalizes its position on appeal target value, we want to confirm that our internal TIF impact model reconciles to Ehlers' published methodology. Specifically, we have built a parallel year-by-year model of the TIF District through 2045 that reproduces every published unit-figure in your April 2026 Chamberlain TIF Update — within $86 across every metric. We respectfully request your review of:</w:t>
      </w:r>
    </w:p>
    <w:p>
      <w:pPr>
        <w:pStyle w:val="ListParagraph"/>
        <w:numPr>
          <w:ilvl w:val="0"/>
          <w:numId w:val="2"/>
        </w:numPr>
        <w:spacing w:after="30" w:before="30"/>
      </w:pPr>
      <w:r>
        <w:rPr>
          <w:b/>
          <w:bCs/>
        </w:rPr>
        <w:t xml:space="preserve">Parameter inputs </w:t>
      </w:r>
      <w:r>
        <w:t xml:space="preserve">we are using (ONTC, class rate, tax capacity rate, admin holdback, OSA fee, discount rate)</w:t>
      </w:r>
    </w:p>
    <w:p>
      <w:pPr>
        <w:pStyle w:val="ListParagraph"/>
        <w:numPr>
          <w:ilvl w:val="0"/>
          <w:numId w:val="2"/>
        </w:numPr>
        <w:spacing w:after="30" w:before="30"/>
      </w:pPr>
      <w:r>
        <w:rPr>
          <w:b/>
          <w:bCs/>
        </w:rPr>
        <w:t xml:space="preserve">Methodology </w:t>
      </w:r>
      <w:r>
        <w:t xml:space="preserve">for translating a TMV reduction into TIF revenue impact, Note amortization timing, and post-decertification tax savings</w:t>
      </w:r>
    </w:p>
    <w:p>
      <w:pPr>
        <w:pStyle w:val="ListParagraph"/>
        <w:numPr>
          <w:ilvl w:val="0"/>
          <w:numId w:val="2"/>
        </w:numPr>
        <w:spacing w:after="30" w:before="30"/>
      </w:pPr>
      <w:r>
        <w:rPr>
          <w:b/>
          <w:bCs/>
        </w:rPr>
        <w:t xml:space="preserve">Reasonableness of our four scenario projections </w:t>
      </w:r>
      <w:r>
        <w:t xml:space="preserve">(no appeal, three different appeal targets) for use in our internal decision and any subsequent HRA discussion</w:t>
      </w:r>
    </w:p>
    <w:p>
      <w:pPr>
        <w:spacing w:after="100" w:before="0"/>
      </w:pPr>
      <w:r>
        <w:rPr>
          <w:b w:val="false"/>
          <w:bCs w:val="false"/>
          <w:i w:val="false"/>
          <w:iCs w:val="false"/>
        </w:rPr>
        <w:t xml:space="preserve">Nick has indicated the appeal could likely achieve a settlement value below $50M — possibly approaching the contractual MAA Floor of $43,835,000 — and we want to be confident in the cash-flow implications across that range before agreeing to any specific number with the County.</w:t>
      </w:r>
    </w:p>
    <w:p>
      <w:pPr>
        <w:pStyle w:val="Heading1"/>
      </w:pPr>
      <w:r>
        <w:t xml:space="preserve">2. Summary of KA's Model</w:t>
      </w:r>
    </w:p>
    <w:p>
      <w:pPr>
        <w:pStyle w:val="Heading2"/>
      </w:pPr>
      <w:r>
        <w:t xml:space="preserve">2.1 Architecture</w:t>
      </w:r>
    </w:p>
    <w:p>
      <w:pPr>
        <w:spacing w:after="80" w:before="0"/>
      </w:pPr>
      <w:r>
        <w:rPr>
          <w:b w:val="false"/>
          <w:bCs w:val="false"/>
          <w:i w:val="false"/>
          <w:iCs w:val="false"/>
        </w:rPr>
        <w:t xml:space="preserve">Our model is a year-by-year cash-flow projection over the full TIF District life (2026 through 2045 last-increment year, with Note maturity 2/1/2046). Each scenario tracks four components:</w:t>
      </w:r>
    </w:p>
    <w:p>
      <w:pPr>
        <w:pStyle w:val="ListParagraph"/>
        <w:numPr>
          <w:ilvl w:val="0"/>
          <w:numId w:val="2"/>
        </w:numPr>
        <w:spacing w:after="30" w:before="30"/>
      </w:pPr>
      <w:r>
        <w:rPr>
          <w:b/>
          <w:bCs/>
        </w:rPr>
        <w:t xml:space="preserve">Property tax paid</w:t>
      </w:r>
      <w:r>
        <w:t xml:space="preserve"> by the LLC each year (TMV × class rate × tax capacity rate)</w:t>
      </w:r>
    </w:p>
    <w:p>
      <w:pPr>
        <w:pStyle w:val="ListParagraph"/>
        <w:numPr>
          <w:ilvl w:val="0"/>
          <w:numId w:val="2"/>
        </w:numPr>
        <w:spacing w:after="30" w:before="30"/>
      </w:pPr>
      <w:r>
        <w:rPr>
          <w:b/>
          <w:bCs/>
        </w:rPr>
        <w:t xml:space="preserve">TIF received</w:t>
      </w:r>
      <w:r>
        <w:t xml:space="preserve"> by the LLC each year (capped at Note debt service requirement)</w:t>
      </w:r>
    </w:p>
    <w:p>
      <w:pPr>
        <w:pStyle w:val="ListParagraph"/>
        <w:numPr>
          <w:ilvl w:val="0"/>
          <w:numId w:val="2"/>
        </w:numPr>
        <w:spacing w:after="30" w:before="30"/>
      </w:pPr>
      <w:r>
        <w:rPr>
          <w:b/>
          <w:bCs/>
        </w:rPr>
        <w:t xml:space="preserve">Note balance amortization</w:t>
      </w:r>
      <w:r>
        <w:t xml:space="preserve"> (4.60% interest accrual, principal paydown from TIF received, payoff year tracked)</w:t>
      </w:r>
    </w:p>
    <w:p>
      <w:pPr>
        <w:pStyle w:val="ListParagraph"/>
        <w:numPr>
          <w:ilvl w:val="0"/>
          <w:numId w:val="2"/>
        </w:numPr>
        <w:spacing w:after="30" w:before="30"/>
      </w:pPr>
      <w:r>
        <w:rPr>
          <w:b/>
          <w:bCs/>
        </w:rPr>
        <w:t xml:space="preserve">Net cash flow</w:t>
      </w:r>
      <w:r>
        <w:t xml:space="preserve"> to the LLC across all components, with NPV at multiple discount rates</w:t>
      </w:r>
    </w:p>
    <w:p>
      <w:pPr>
        <w:spacing w:after="60" w:before="0"/>
      </w:pPr>
      <w:r>
        <w:rPr>
          <w:b w:val="false"/>
          <w:bCs w:val="false"/>
          <w:i w:val="false"/>
          <w:iCs w:val="false"/>
        </w:rPr>
        <w:t xml:space="preserve">Attorney fees are modeled at 25% of the first-year property tax savings, applied once at the year of each successful appeal (not as a recurring annual fee). This reflects the standard contingency structure used by Minnesota property tax counsel.</w:t>
      </w:r>
    </w:p>
    <w:p>
      <w:pPr>
        <w:pStyle w:val="Heading2"/>
      </w:pPr>
      <w:r>
        <w:t xml:space="preserve">2.2 The Four Scenarios</w:t>
      </w:r>
    </w:p>
    <w:p>
      <w:pPr>
        <w:spacing w:after="80" w:before="0"/>
      </w:pPr>
      <w:r>
        <w:rPr>
          <w:b w:val="false"/>
          <w:bCs w:val="false"/>
          <w:i w:val="false"/>
          <w:iCs w:val="false"/>
        </w:rPr>
        <w:t xml:space="preserve">We test four TMV trajectories from 2026 through 2045. All four use the same TIF mechanics; only the underlying assessed value differs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700"/>
        <w:gridCol w:w="2560"/>
      </w:tblGrid>
      <w:tr>
        <w:trPr>
          <w:tblHeader/>
        </w:trPr>
        <w:tc>
          <w:tcPr>
            <w:tcW w:type="dxa" w:w="17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Scenario</w:t>
            </w:r>
          </w:p>
        </w:tc>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2026 Starting TMV</w:t>
            </w:r>
          </w:p>
        </w:tc>
        <w:tc>
          <w:tcPr>
            <w:tcW w:type="dxa" w:w="27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Trajectory</w:t>
            </w:r>
          </w:p>
        </w:tc>
        <w:tc>
          <w:tcPr>
            <w:tcW w:type="dxa" w:w="256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Appeal Activity</w:t>
            </w:r>
          </w:p>
        </w:tc>
      </w:tr>
      <w:tr>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bCs/>
                <w:i w:val="false"/>
                <w:iCs w:val="false"/>
                <w:sz w:val="20"/>
                <w:szCs w:val="20"/>
              </w:rPr>
              <w:t xml:space="preserve">S1 — Baseline</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$54,866,000 (2025 value held)</w:t>
            </w:r>
          </w:p>
        </w:tc>
        <w:tc>
          <w:tcPr>
            <w:tcW w:type="dxa" w:w="2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4% annual growth, no appeals</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None</w:t>
            </w:r>
          </w:p>
        </w:tc>
      </w:tr>
      <w:tr>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bCs/>
                <w:i w:val="false"/>
                <w:iCs w:val="false"/>
                <w:sz w:val="20"/>
                <w:szCs w:val="20"/>
              </w:rPr>
              <w:t xml:space="preserve">S2 — Mid Appeal</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$50,000,000</w:t>
            </w:r>
          </w:p>
        </w:tc>
        <w:tc>
          <w:tcPr>
            <w:tcW w:type="dxa" w:w="2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~2.81% effective CAGR</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Appeals 2026, 2031, 2036, 2041</w:t>
            </w:r>
          </w:p>
        </w:tc>
      </w:tr>
      <w:tr>
        <w:tc>
          <w:tcPr>
            <w:tcW w:type="dxa" w:w="1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bCs/>
                <w:i w:val="false"/>
                <w:iCs w:val="false"/>
                <w:sz w:val="20"/>
                <w:szCs w:val="20"/>
              </w:rPr>
              <w:t xml:space="preserve">S3 — Aggressive Appeal</w:t>
            </w:r>
          </w:p>
        </w:tc>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$47,500,000</w:t>
            </w:r>
          </w:p>
        </w:tc>
        <w:tc>
          <w:tcPr>
            <w:tcW w:type="dxa" w:w="27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~2.5% effective CAGR</w:t>
            </w:r>
          </w:p>
        </w:tc>
        <w:tc>
          <w:tcPr>
            <w:tcW w:type="dxa" w:w="2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Appeals 2026, 2031, 2036, 2041</w:t>
            </w:r>
          </w:p>
        </w:tc>
      </w:tr>
      <w:tr>
        <w:tc>
          <w:tcPr>
            <w:tcW w:type="dxa" w:w="17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left"/>
            </w:pPr>
            <w:r>
              <w:rPr>
                <w:b/>
                <w:bCs/>
                <w:i w:val="false"/>
                <w:iCs w:val="false"/>
                <w:sz w:val="20"/>
                <w:szCs w:val="20"/>
              </w:rPr>
              <w:t xml:space="preserve">S4 — MAA Floor</w:t>
            </w:r>
          </w:p>
        </w:tc>
        <w:tc>
          <w:tcPr>
            <w:tcW w:type="dxa" w:w="24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left"/>
            </w:pPr>
            <w:r>
              <w:rPr>
                <w:b w:val="false"/>
                <w:bCs w:val="false"/>
                <w:i w:val="false"/>
                <w:iCs w:val="false"/>
                <w:sz w:val="20"/>
                <w:szCs w:val="20"/>
              </w:rPr>
              <w:t xml:space="preserve">$43,835,000 (MAA contractual floor)</w:t>
            </w:r>
          </w:p>
        </w:tc>
        <w:tc>
          <w:tcPr>
            <w:tcW w:type="dxa" w:w="27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left"/>
            </w:pPr>
            <w:r>
              <w:rPr>
                <w:b w:val="false"/>
                <w:bCs w:val="false"/>
                <w:i w:val="false"/>
                <w:iCs w:val="false"/>
                <w:sz w:val="20"/>
                <w:szCs w:val="20"/>
              </w:rPr>
              <w:t xml:space="preserve">Re-appealed back to floor every 5 yrs</w:t>
            </w:r>
          </w:p>
        </w:tc>
        <w:tc>
          <w:tcPr>
            <w:tcW w:type="dxa" w:w="256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left"/>
            </w:pPr>
            <w:r>
              <w:rPr>
                <w:b w:val="false"/>
                <w:bCs w:val="false"/>
                <w:i w:val="false"/>
                <w:iCs w:val="false"/>
                <w:sz w:val="20"/>
                <w:szCs w:val="20"/>
              </w:rPr>
              <w:t xml:space="preserve">Appeals 2026, 2031, 2036, 2041</w:t>
            </w:r>
          </w:p>
        </w:tc>
      </w:tr>
    </w:tbl>
    <w:p>
      <w:pPr>
        <w:spacing w:after="60" w:before="40"/>
      </w:pPr>
      <w:r>
        <w:rPr>
          <w:b w:val="false"/>
          <w:bCs w:val="false"/>
          <w:i/>
          <w:iCs/>
          <w:sz w:val="20"/>
          <w:szCs w:val="20"/>
        </w:rPr>
        <w:t xml:space="preserve">S4 represents the maximum-benefit case bounded by the Minimum Assessment Agreement (recorded as Hennepin County Doc T05543322), which prohibits a property assessment below $43.835M as of January 2, 2021 and each January 2 thereafter until TIF termination.</w:t>
      </w:r>
    </w:p>
    <w:p>
      <w:pPr>
        <w:pStyle w:val="Heading2"/>
      </w:pPr>
      <w:r>
        <w:t xml:space="preserve">2.3 Headline Results</w:t>
      </w:r>
    </w:p>
    <w:p>
      <w:pPr>
        <w:spacing w:after="80" w:before="0"/>
      </w:pPr>
      <w:r>
        <w:rPr>
          <w:b w:val="false"/>
          <w:bCs w:val="false"/>
          <w:i w:val="false"/>
          <w:iCs w:val="false"/>
        </w:rPr>
        <w:t xml:space="preserve">Net cash-flow benefit to the LLC over 2026–2045, after all attorney fees, expressed as the difference between each appeal scenario and the no-appeal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60"/>
        <w:gridCol w:w="1660"/>
        <w:gridCol w:w="1660"/>
        <w:gridCol w:w="198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Scenario</w:t>
            </w:r>
          </w:p>
        </w:tc>
        <w:tc>
          <w:tcPr>
            <w:tcW w:type="dxa" w:w="166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right"/>
            </w:pPr>
            <w:r>
              <w:rPr>
                <w:b/>
                <w:bCs/>
                <w:color w:val="FFFFFF"/>
                <w:sz w:val="20"/>
                <w:szCs w:val="20"/>
              </w:rPr>
              <w:t xml:space="preserve">Nominal</w:t>
            </w:r>
          </w:p>
        </w:tc>
        <w:tc>
          <w:tcPr>
            <w:tcW w:type="dxa" w:w="166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right"/>
            </w:pPr>
            <w:r>
              <w:rPr>
                <w:b/>
                <w:bCs/>
                <w:color w:val="FFFFFF"/>
                <w:sz w:val="20"/>
                <w:szCs w:val="20"/>
              </w:rPr>
              <w:t xml:space="preserve">NPV @ 5%</w:t>
            </w:r>
          </w:p>
        </w:tc>
        <w:tc>
          <w:tcPr>
            <w:tcW w:type="dxa" w:w="166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right"/>
            </w:pPr>
            <w:r>
              <w:rPr>
                <w:b/>
                <w:bCs/>
                <w:color w:val="FFFFFF"/>
                <w:sz w:val="20"/>
                <w:szCs w:val="20"/>
              </w:rPr>
              <w:t xml:space="preserve">NPV @ 6%</w:t>
            </w:r>
          </w:p>
        </w:tc>
        <w:tc>
          <w:tcPr>
            <w:tcW w:type="dxa" w:w="198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right"/>
            </w:pPr>
            <w:r>
              <w:rPr>
                <w:b/>
                <w:bCs/>
                <w:color w:val="FFFFFF"/>
                <w:sz w:val="20"/>
                <w:szCs w:val="20"/>
              </w:rPr>
              <w:t xml:space="preserve">NPV @ 7%</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bCs/>
                <w:i w:val="false"/>
                <w:iCs w:val="false"/>
                <w:sz w:val="20"/>
                <w:szCs w:val="20"/>
              </w:rPr>
              <w:t xml:space="preserve">S2 — Mid Appeal</w:t>
            </w:r>
          </w:p>
        </w:tc>
        <w:tc>
          <w:tcPr>
            <w:tcW w:type="dxa" w:w="16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+$5,170,645</w:t>
            </w:r>
          </w:p>
        </w:tc>
        <w:tc>
          <w:tcPr>
            <w:tcW w:type="dxa" w:w="16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+$2,540,442</w:t>
            </w:r>
          </w:p>
        </w:tc>
        <w:tc>
          <w:tcPr>
            <w:tcW w:type="dxa" w:w="16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+$2,218,881</w:t>
            </w:r>
          </w:p>
        </w:tc>
        <w:tc>
          <w:tcPr>
            <w:tcW w:type="dxa" w:w="19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+$1,942,139</w:t>
            </w:r>
          </w:p>
        </w:tc>
      </w:tr>
      <w:tr>
        <w:tc>
          <w:tcPr>
            <w:tcW w:type="dxa" w:w="24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bCs/>
                <w:i w:val="false"/>
                <w:iCs w:val="false"/>
                <w:sz w:val="20"/>
                <w:szCs w:val="20"/>
              </w:rPr>
              <w:t xml:space="preserve">S3 — Aggressive Appeal</w:t>
            </w:r>
          </w:p>
        </w:tc>
        <w:tc>
          <w:tcPr>
            <w:tcW w:type="dxa" w:w="16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+$6,345,731</w:t>
            </w:r>
          </w:p>
        </w:tc>
        <w:tc>
          <w:tcPr>
            <w:tcW w:type="dxa" w:w="16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+$3,127,907</w:t>
            </w:r>
          </w:p>
        </w:tc>
        <w:tc>
          <w:tcPr>
            <w:tcW w:type="dxa" w:w="16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+$2,733,175</w:t>
            </w:r>
          </w:p>
        </w:tc>
        <w:tc>
          <w:tcPr>
            <w:tcW w:type="dxa" w:w="198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+$2,393,171</w:t>
            </w:r>
          </w:p>
        </w:tc>
      </w:tr>
      <w:tr>
        <w:tc>
          <w:tcPr>
            <w:tcW w:type="dxa" w:w="240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left"/>
            </w:pPr>
            <w:r>
              <w:rPr>
                <w:b/>
                <w:bCs/>
                <w:i w:val="false"/>
                <w:iCs w:val="false"/>
                <w:sz w:val="20"/>
                <w:szCs w:val="20"/>
              </w:rPr>
              <w:t xml:space="preserve">S4 — MAA Floor</w:t>
            </w:r>
          </w:p>
        </w:tc>
        <w:tc>
          <w:tcPr>
            <w:tcW w:type="dxa" w:w="166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right"/>
            </w:pPr>
            <w:r>
              <w:rPr>
                <w:b/>
                <w:bCs/>
                <w:i w:val="false"/>
                <w:iCs w:val="false"/>
                <w:sz w:val="20"/>
                <w:szCs w:val="20"/>
              </w:rPr>
              <w:t xml:space="preserve">+$11,544,611</w:t>
            </w:r>
          </w:p>
        </w:tc>
        <w:tc>
          <w:tcPr>
            <w:tcW w:type="dxa" w:w="166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right"/>
            </w:pPr>
            <w:r>
              <w:rPr>
                <w:b/>
                <w:bCs/>
                <w:i w:val="false"/>
                <w:iCs w:val="false"/>
                <w:sz w:val="20"/>
                <w:szCs w:val="20"/>
              </w:rPr>
              <w:t xml:space="preserve">+$5,496,585</w:t>
            </w:r>
          </w:p>
        </w:tc>
        <w:tc>
          <w:tcPr>
            <w:tcW w:type="dxa" w:w="166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right"/>
            </w:pPr>
            <w:r>
              <w:rPr>
                <w:b/>
                <w:bCs/>
                <w:i w:val="false"/>
                <w:iCs w:val="false"/>
                <w:sz w:val="20"/>
                <w:szCs w:val="20"/>
              </w:rPr>
              <w:t xml:space="preserve">+$4,768,884</w:t>
            </w:r>
          </w:p>
        </w:tc>
        <w:tc>
          <w:tcPr>
            <w:tcW w:type="dxa" w:w="198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right"/>
            </w:pPr>
            <w:r>
              <w:rPr>
                <w:b/>
                <w:bCs/>
                <w:i w:val="false"/>
                <w:iCs w:val="false"/>
                <w:sz w:val="20"/>
                <w:szCs w:val="20"/>
              </w:rPr>
              <w:t xml:space="preserve">+$4,145,910</w:t>
            </w:r>
          </w:p>
        </w:tc>
      </w:tr>
    </w:tbl>
    <w:p>
      <w:pPr>
        <w:spacing w:after="60" w:before="40"/>
      </w:pPr>
      <w:r>
        <w:rPr>
          <w:b w:val="false"/>
          <w:bCs w:val="false"/>
          <w:i w:val="false"/>
          <w:iCs w:val="false"/>
        </w:rPr>
        <w:t xml:space="preserve">All scenarios show the TIF Note paid off prior to 2045 decertification: S1 in 2039, S2 in 2040, S3 in 2041, S4 in 2044. Attorney fees over the full appeal sequence total $234K (S2), $283K (S3), and $505K (S4).</w:t>
      </w:r>
    </w:p>
    <w:p>
      <w:pPr>
        <w:pStyle w:val="Heading1"/>
      </w:pPr>
      <w:r>
        <w:t xml:space="preserve">3. Logic Outline</w:t>
      </w:r>
    </w:p>
    <w:p>
      <w:pPr>
        <w:spacing w:after="80" w:before="0"/>
      </w:pPr>
      <w:r>
        <w:rPr>
          <w:b w:val="false"/>
          <w:bCs w:val="false"/>
          <w:i w:val="false"/>
          <w:iCs w:val="false"/>
        </w:rPr>
        <w:t xml:space="preserve">The following walks through our analytical chain step-by-step. We have aimed to keep this aligned with the methodology reflected in your April 2026 Chamberlain TIF Update.</w:t>
      </w:r>
    </w:p>
    <w:p>
      <w:pPr>
        <w:pStyle w:val="Heading2"/>
      </w:pPr>
      <w:r>
        <w:t xml:space="preserve">3.1 The TIF Revenue Equation</w:t>
      </w:r>
    </w:p>
    <w:p>
      <w:pPr>
        <w:spacing w:after="80" w:before="0"/>
      </w:pPr>
      <w:r>
        <w:rPr>
          <w:b w:val="false"/>
          <w:bCs w:val="false"/>
          <w:i w:val="false"/>
          <w:iCs w:val="false"/>
        </w:rPr>
        <w:t xml:space="preserve">For each year, captured TIF revenue is calculated as:</w:t>
      </w:r>
    </w:p>
    <w:p>
      <w:pPr>
        <w:pBdr>
          <w:top w:val="single" w:color="BFBFBF" w:sz="4" w:space="6"/>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TIF_gross  = (NTC_current − ONTC) × TaxCapRate</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TIF_admin  = TIF_gross × AdminPct</w:t>
      </w:r>
    </w:p>
    <w:p>
      <w:pPr>
        <w:pBdr>
          <w:left w:val="single" w:color="BFBFBF" w:sz="4" w:space="6"/>
          <w:right w:val="single" w:color="BFBFBF" w:sz="4" w:space="6"/>
        </w:pBdr>
        <w:shd w:fill="F2F2F2" w:val="clear"/>
        <w:spacing w:after="0" w:before="0"/>
        <w:ind w:left="100" w:right="100"/>
      </w:pPr>
      <w:r>
        <w:rPr>
          <w:rFonts w:ascii="Consolas" w:cs="Consolas" w:eastAsia="Consolas" w:hAnsi="Consolas"/>
          <w:sz w:val="18"/>
          <w:szCs w:val="18"/>
        </w:rPr>
        <w:t xml:space="preserve">TIF_OSA    = TIF_gross × OSAPct</w:t>
      </w:r>
    </w:p>
    <w:p>
      <w:pPr>
        <w:pBdr>
          <w:bottom w:val="single" w:color="BFBFBF" w:sz="4" w:space="6"/>
          <w:left w:val="single" w:color="BFBFBF" w:sz="4" w:space="6"/>
          <w:right w:val="single" w:color="BFBFBF" w:sz="4" w:space="6"/>
        </w:pBdr>
        <w:shd w:fill="F2F2F2" w:val="clear"/>
        <w:spacing w:after="80" w:before="0"/>
        <w:ind w:left="100" w:right="100"/>
      </w:pPr>
      <w:r>
        <w:rPr>
          <w:rFonts w:ascii="Consolas" w:cs="Consolas" w:eastAsia="Consolas" w:hAnsi="Consolas"/>
          <w:sz w:val="18"/>
          <w:szCs w:val="18"/>
        </w:rPr>
        <w:t xml:space="preserve">TIF_to_dev = TIF_gross − TIF_admin − TIF_OSA</w:t>
      </w:r>
    </w:p>
    <w:p>
      <w:pPr>
        <w:spacing w:after="80" w:before="0"/>
      </w:pPr>
      <w:r>
        <w:rPr>
          <w:b w:val="false"/>
          <w:bCs w:val="false"/>
          <w:i w:val="false"/>
          <w:iCs w:val="false"/>
        </w:rPr>
        <w:t xml:space="preserve">Where:</w:t>
      </w:r>
    </w:p>
    <w:p>
      <w:pPr>
        <w:pStyle w:val="ListParagraph"/>
        <w:numPr>
          <w:ilvl w:val="0"/>
          <w:numId w:val="2"/>
        </w:numPr>
        <w:spacing w:after="30" w:before="30"/>
      </w:pPr>
      <w:r>
        <w:rPr>
          <w:b w:val="false"/>
          <w:bCs w:val="false"/>
          <w:i w:val="false"/>
          <w:iCs w:val="false"/>
        </w:rPr>
        <w:t xml:space="preserve">NTC_current = TMV × ClassRate (Class 4a apartment = 1.25%)</w:t>
      </w:r>
    </w:p>
    <w:p>
      <w:pPr>
        <w:pStyle w:val="ListParagraph"/>
        <w:numPr>
          <w:ilvl w:val="0"/>
          <w:numId w:val="2"/>
        </w:numPr>
        <w:spacing w:after="30" w:before="30"/>
      </w:pPr>
      <w:r>
        <w:rPr>
          <w:b w:val="false"/>
          <w:bCs w:val="false"/>
          <w:i w:val="false"/>
          <w:iCs w:val="false"/>
        </w:rPr>
        <w:t xml:space="preserve">ONTC = Original Net Tax Capacity established at District certification ($37,179)</w:t>
      </w:r>
    </w:p>
    <w:p>
      <w:pPr>
        <w:pStyle w:val="ListParagraph"/>
        <w:numPr>
          <w:ilvl w:val="0"/>
          <w:numId w:val="2"/>
        </w:numPr>
        <w:spacing w:after="30" w:before="30"/>
      </w:pPr>
      <w:r>
        <w:rPr>
          <w:b w:val="false"/>
          <w:bCs w:val="false"/>
          <w:i w:val="false"/>
          <w:iCs w:val="false"/>
        </w:rPr>
        <w:t xml:space="preserve">TaxCapRate = local tax capacity rate (1.27866 for 2026 per County)</w:t>
      </w:r>
    </w:p>
    <w:p>
      <w:pPr>
        <w:pStyle w:val="ListParagraph"/>
        <w:numPr>
          <w:ilvl w:val="0"/>
          <w:numId w:val="2"/>
        </w:numPr>
        <w:spacing w:after="30" w:before="30"/>
      </w:pPr>
      <w:r>
        <w:rPr>
          <w:b w:val="false"/>
          <w:bCs w:val="false"/>
          <w:i w:val="false"/>
          <w:iCs w:val="false"/>
        </w:rPr>
        <w:t xml:space="preserve">AdminPct = 10% (TIF Plan §2-9)</w:t>
      </w:r>
    </w:p>
    <w:p>
      <w:pPr>
        <w:pStyle w:val="ListParagraph"/>
        <w:numPr>
          <w:ilvl w:val="0"/>
          <w:numId w:val="2"/>
        </w:numPr>
        <w:spacing w:after="30" w:before="30"/>
      </w:pPr>
      <w:r>
        <w:rPr>
          <w:b w:val="false"/>
          <w:bCs w:val="false"/>
          <w:i w:val="false"/>
          <w:iCs w:val="false"/>
        </w:rPr>
        <w:t xml:space="preserve">OSAPct = 0.36% (State Auditor fee)</w:t>
      </w:r>
    </w:p>
    <w:p>
      <w:pPr>
        <w:spacing w:after="80" w:before="0"/>
      </w:pPr>
      <w:r>
        <w:rPr>
          <w:b w:val="false"/>
          <w:bCs w:val="false"/>
          <w:i w:val="false"/>
          <w:iCs w:val="false"/>
        </w:rPr>
        <w:t xml:space="preserve">At baseline 2026 county-set TMV of $52,151,000, this produces $746,544 in annual TIF revenue to the developer (matching your published figure exactly). See §4 for the full reconciliation across all output metrics.</w:t>
      </w:r>
    </w:p>
    <w:p>
      <w:pPr>
        <w:pStyle w:val="Heading2"/>
      </w:pPr>
      <w:r>
        <w:t xml:space="preserve">3.2 The Appeal Impact Mechanics</w:t>
      </w:r>
    </w:p>
    <w:p>
      <w:pPr>
        <w:spacing w:after="80" w:before="0"/>
      </w:pPr>
      <w:r>
        <w:rPr>
          <w:b w:val="false"/>
          <w:bCs w:val="false"/>
          <w:i w:val="false"/>
          <w:iCs w:val="false"/>
        </w:rPr>
        <w:t xml:space="preserve">When TMV is reduced via successful appeal, four things happen:</w:t>
      </w:r>
    </w:p>
    <w:p>
      <w:pPr>
        <w:pStyle w:val="ListParagraph"/>
        <w:numPr>
          <w:ilvl w:val="0"/>
          <w:numId w:val="2"/>
        </w:numPr>
        <w:spacing w:after="30" w:before="30"/>
      </w:pPr>
      <w:r>
        <w:rPr>
          <w:b/>
          <w:bCs/>
        </w:rPr>
        <w:t xml:space="preserve">Property tax paid drops </w:t>
      </w:r>
      <w:r>
        <w:t xml:space="preserve">by approximately $0.01598 per $1 of TMV reduction (ClassRate × TaxCapRate).</w:t>
      </w:r>
    </w:p>
    <w:p>
      <w:pPr>
        <w:pStyle w:val="ListParagraph"/>
        <w:numPr>
          <w:ilvl w:val="0"/>
          <w:numId w:val="2"/>
        </w:numPr>
        <w:spacing w:after="30" w:before="30"/>
      </w:pPr>
      <w:r>
        <w:rPr>
          <w:b/>
          <w:bCs/>
        </w:rPr>
        <w:t xml:space="preserve">TIF received also drops, </w:t>
      </w:r>
      <w:r>
        <w:t xml:space="preserve">but at 89.64% of the property tax reduction (the post-admin, post-OSA pass-through to the developer).</w:t>
      </w:r>
    </w:p>
    <w:p>
      <w:pPr>
        <w:pStyle w:val="ListParagraph"/>
        <w:numPr>
          <w:ilvl w:val="0"/>
          <w:numId w:val="2"/>
        </w:numPr>
        <w:spacing w:after="30" w:before="30"/>
      </w:pPr>
      <w:r>
        <w:rPr>
          <w:b/>
          <w:bCs/>
        </w:rPr>
        <w:t xml:space="preserve">Net to LLC in any pre-Note-payoff year </w:t>
      </w:r>
      <w:r>
        <w:t xml:space="preserve">= 10.36% of the property tax reduction (the admin holdback plus OSA fee that the City/State retain regardless of TIF status).</w:t>
      </w:r>
    </w:p>
    <w:p>
      <w:pPr>
        <w:pStyle w:val="ListParagraph"/>
        <w:numPr>
          <w:ilvl w:val="0"/>
          <w:numId w:val="2"/>
        </w:numPr>
        <w:spacing w:after="30" w:before="30"/>
      </w:pPr>
      <w:r>
        <w:rPr>
          <w:b/>
          <w:bCs/>
        </w:rPr>
        <w:t xml:space="preserve">After Note payoff (or 2045 decertification), </w:t>
      </w:r>
      <w:r>
        <w:t xml:space="preserve">100% of the property tax reduction flows to the LLC because there is no offsetting TIF to lose.</w:t>
      </w:r>
    </w:p>
    <w:p>
      <w:pPr>
        <w:spacing w:after="80" w:before="0"/>
      </w:pPr>
      <w:r>
        <w:rPr>
          <w:b w:val="false"/>
          <w:bCs w:val="false"/>
          <w:i w:val="false"/>
          <w:iCs w:val="false"/>
        </w:rPr>
        <w:t xml:space="preserve">The bulk of appeal benefit therefore accrues in the post-Note-payoff window through 2045, plus all years thereafter when the lower assessed value continues. The longer the District life (20 years from 2026) and post-District tax life, the more powerful even a modest TMV reduction becomes.</w:t>
      </w:r>
    </w:p>
    <w:p>
      <w:pPr>
        <w:pStyle w:val="Heading2"/>
      </w:pPr>
      <w:r>
        <w:t xml:space="preserve">3.3 TIF Note Amortization</w:t>
      </w:r>
    </w:p>
    <w:p>
      <w:pPr>
        <w:spacing w:after="80" w:before="0"/>
      </w:pPr>
      <w:r>
        <w:rPr>
          <w:b w:val="false"/>
          <w:bCs w:val="false"/>
          <w:i w:val="false"/>
          <w:iCs w:val="false"/>
        </w:rPr>
        <w:t xml:space="preserve">The TIF Note (originally $7,142,377 at 4.60% per §3 of the Note) was at a 1/1/2026 balance of $7,269,118.57 (per the Hennepin County records and your TIF Update). It accrues interest annually; principal is paid only from TIF receipts. The Note is a "limited revenue obligation" with no recourse to the LLC and no personal guarantee. Any balance unpaid at 2/1/2046 maturity is forgiven per Note §3.</w:t>
      </w:r>
    </w:p>
    <w:p>
      <w:pPr>
        <w:spacing w:after="80" w:before="0"/>
      </w:pPr>
      <w:r>
        <w:rPr>
          <w:b w:val="false"/>
          <w:bCs w:val="false"/>
          <w:i w:val="false"/>
          <w:iCs w:val="false"/>
        </w:rPr>
        <w:t xml:space="preserve">This has two important implications for the appeal analysis:</w:t>
      </w:r>
    </w:p>
    <w:p>
      <w:pPr>
        <w:pStyle w:val="ListParagraph"/>
        <w:numPr>
          <w:ilvl w:val="0"/>
          <w:numId w:val="2"/>
        </w:numPr>
        <w:spacing w:after="30" w:before="30"/>
      </w:pPr>
      <w:r>
        <w:rPr>
          <w:i/>
          <w:iCs/>
        </w:rPr>
        <w:t xml:space="preserve">Lower TIF receipts merely extend the payoff date; </w:t>
      </w:r>
      <w:r>
        <w:t xml:space="preserve">they do not create a default risk to the LLC.</w:t>
      </w:r>
    </w:p>
    <w:p>
      <w:pPr>
        <w:pStyle w:val="ListParagraph"/>
        <w:numPr>
          <w:ilvl w:val="0"/>
          <w:numId w:val="2"/>
        </w:numPr>
        <w:spacing w:after="30" w:before="30"/>
      </w:pPr>
      <w:r>
        <w:rPr>
          <w:i/>
          <w:iCs/>
        </w:rPr>
        <w:t xml:space="preserve">Earlier payoff is not a benefit per se; </w:t>
      </w:r>
      <w:r>
        <w:t xml:space="preserve">the only benefit dimension is the timing of when post-Note property tax savings begin flowing to the LLC. Once the Note is paid, lower property tax = pure benefit.</w:t>
      </w:r>
    </w:p>
    <w:p>
      <w:pPr>
        <w:pStyle w:val="Heading2"/>
      </w:pPr>
      <w:r>
        <w:t xml:space="preserve">3.4 The Net Cash-Flow Calculus</w:t>
      </w:r>
    </w:p>
    <w:p>
      <w:pPr>
        <w:spacing w:after="80" w:before="0"/>
      </w:pPr>
      <w:r>
        <w:rPr>
          <w:b w:val="false"/>
          <w:bCs w:val="false"/>
          <w:i w:val="false"/>
          <w:iCs w:val="false"/>
        </w:rPr>
        <w:t xml:space="preserve">Per-year net cash flow to the LLC from an appeal = (Property tax savings) − (TIF revenue reduction) − (Attorney fee, in appeal-settlement years only). Across the 2026–2045 District life:</w:t>
      </w:r>
    </w:p>
    <w:p>
      <w:pPr>
        <w:pStyle w:val="ListParagraph"/>
        <w:numPr>
          <w:ilvl w:val="0"/>
          <w:numId w:val="2"/>
        </w:numPr>
        <w:spacing w:after="30" w:before="30"/>
      </w:pPr>
      <w:r>
        <w:rPr>
          <w:b w:val="false"/>
          <w:bCs w:val="false"/>
          <w:i w:val="false"/>
          <w:iCs w:val="false"/>
        </w:rPr>
        <w:t xml:space="preserve">During TIF District + pre-Note-payoff: net benefit ≈ 10.36% of property tax reduction</w:t>
      </w:r>
    </w:p>
    <w:p>
      <w:pPr>
        <w:pStyle w:val="ListParagraph"/>
        <w:numPr>
          <w:ilvl w:val="0"/>
          <w:numId w:val="2"/>
        </w:numPr>
        <w:spacing w:after="30" w:before="30"/>
      </w:pPr>
      <w:r>
        <w:rPr>
          <w:b w:val="false"/>
          <w:bCs w:val="false"/>
          <w:i w:val="false"/>
          <w:iCs w:val="false"/>
        </w:rPr>
        <w:t xml:space="preserve">During TIF District + post-Note-payoff: net benefit = 100% of property tax reduction</w:t>
      </w:r>
    </w:p>
    <w:p>
      <w:pPr>
        <w:pStyle w:val="ListParagraph"/>
        <w:numPr>
          <w:ilvl w:val="0"/>
          <w:numId w:val="2"/>
        </w:numPr>
        <w:spacing w:after="30" w:before="30"/>
      </w:pPr>
      <w:r>
        <w:rPr>
          <w:b w:val="false"/>
          <w:bCs w:val="false"/>
          <w:i w:val="false"/>
          <w:iCs w:val="false"/>
        </w:rPr>
        <w:t xml:space="preserve">Post-2045 (TIF expired) — outside this model but worth noting: 100% of property tax reduction continues indefinitely as long as the lower TMV holds</w:t>
      </w:r>
    </w:p>
    <w:p>
      <w:pPr>
        <w:spacing w:after="60" w:before="0"/>
      </w:pPr>
      <w:r>
        <w:rPr>
          <w:b w:val="false"/>
          <w:bCs w:val="false"/>
          <w:i w:val="false"/>
          <w:iCs w:val="false"/>
        </w:rPr>
        <w:t xml:space="preserve">We discount nominal cash flows at multiple rates (5%, 6%, 7%, 8%) for sensitivity. For a stabilized multifamily asset with TIF support, institutional NPV practice for tax-impact analysis falls in the 5–6% range. Our headline numbers reference NPV @ 5% as the primary metric.</w:t>
      </w:r>
    </w:p>
    <w:p>
      <w:pPr>
        <w:pStyle w:val="Heading1"/>
      </w:pPr>
      <w:r>
        <w:t xml:space="preserve">4. Parameter Reconciliation to Ehlers' April 2026 Update</w:t>
      </w:r>
    </w:p>
    <w:p>
      <w:pPr>
        <w:spacing w:after="80" w:before="0"/>
      </w:pPr>
      <w:r>
        <w:rPr>
          <w:b w:val="false"/>
          <w:bCs w:val="false"/>
          <w:i w:val="false"/>
          <w:iCs w:val="false"/>
        </w:rPr>
        <w:t xml:space="preserve">We have aligned every input parameter to either (a) values published in your April 2026 Chamberlain TIF Update, (b) values stated in the TIF Plan, Note, or MAA, or (c) values reverse-engineered to reproduce your published figures. The reverse-engineering exercise produced exact matches on every output we tested, validating that we are working from the same underlying parameter set.</w:t>
      </w:r>
    </w:p>
    <w:p>
      <w:pPr>
        <w:pStyle w:val="Heading3"/>
      </w:pPr>
      <w:r>
        <w:t xml:space="preserve">4.1 Input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rPr>
          <w:tblHeader/>
        </w:trPr>
        <w:tc>
          <w:tcPr>
            <w:tcW w:type="dxa" w:w="22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Parameter</w:t>
            </w:r>
          </w:p>
        </w:tc>
        <w:tc>
          <w:tcPr>
            <w:tcW w:type="dxa" w:w="20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KA's Value</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Source</w:t>
            </w:r>
          </w:p>
        </w:tc>
        <w:tc>
          <w:tcPr>
            <w:tcW w:type="dxa" w:w="296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Reconciles To</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Class Rate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1.25%</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MN Class 4a apartment</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Standard statutory rate</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Tax Capacity Rate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1.27866</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Reverse-engineered</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Reproduces $746,544 baseline TIF exactly</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Admin Holdback</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10.00%</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TIF Plan §2-9</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Statutory cap, City practice</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OSA Fee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0.36%</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State statute</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Annual deduction</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bCs/>
                <w:i w:val="false"/>
                <w:iCs w:val="false"/>
                <w:sz w:val="20"/>
                <w:szCs w:val="20"/>
              </w:rPr>
              <w:t xml:space="preserve">ONTC</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bCs/>
                <w:i w:val="false"/>
                <w:iCs w:val="false"/>
                <w:sz w:val="20"/>
                <w:szCs w:val="20"/>
              </w:rPr>
              <w:t xml:space="preserve">$37,179</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bCs/>
                <w:i w:val="false"/>
                <w:iCs w:val="false"/>
                <w:sz w:val="20"/>
                <w:szCs w:val="20"/>
              </w:rPr>
              <w:t xml:space="preserve">Reverse-engineered from Ehlers</w:t>
            </w:r>
          </w:p>
        </w:tc>
        <w:tc>
          <w:tcPr>
            <w:tcW w:type="dxa" w:w="2960"/>
            <w:tcBorders>
              <w:top w:val="single" w:color="BFBFBF" w:sz="4"/>
              <w:left w:val="single" w:color="BFBFBF" w:sz="4"/>
              <w:bottom w:val="single" w:color="BFBFBF" w:sz="4"/>
              <w:right w:val="single" w:color="BFBFBF" w:sz="4"/>
            </w:tcBorders>
            <w:shd w:fill="FFF2CC" w:val="clear"/>
            <w:tcMar>
              <w:top w:type="dxa" w:w="60"/>
              <w:left w:type="dxa" w:w="120"/>
              <w:bottom w:type="dxa" w:w="60"/>
              <w:right w:type="dxa" w:w="120"/>
            </w:tcMar>
          </w:tcPr>
          <w:p>
            <w:pPr>
              <w:jc w:val="left"/>
            </w:pPr>
            <w:r>
              <w:rPr>
                <w:b/>
                <w:bCs/>
                <w:i w:val="false"/>
                <w:iCs w:val="false"/>
                <w:sz w:val="20"/>
                <w:szCs w:val="20"/>
              </w:rPr>
              <w:t xml:space="preserve">Critical for accuracy; please confirm</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Note Original Principal</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$7,142,377</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TIF Note §1</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Recorded amount</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Note Rate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4.60%</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TIF Note §3</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Per Note terms</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Note 1/1/2026 Balance</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$7,269,118.57</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TIF Update + County</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Confirmed in your April 2026 Update</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MAA Floor</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$43,835,000</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Hennepin Doc T05543322 §4</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Recorded contractual minimum</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Note Maturity</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2/1/2046</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TIF Note §3</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Limited revenue obligation</w:t>
            </w:r>
          </w:p>
        </w:tc>
      </w:tr>
      <w:tr>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TIF District Last Increment</w:t>
            </w:r>
          </w:p>
        </w:tc>
        <w:tc>
          <w:tcPr>
            <w:tcW w:type="dxa" w:w="20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2045</w:t>
            </w:r>
          </w:p>
        </w:tc>
        <w:tc>
          <w:tcPr>
            <w:tcW w:type="dxa" w:w="2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TIF Plan §2-7</w:t>
            </w:r>
          </w:p>
        </w:tc>
        <w:tc>
          <w:tcPr>
            <w:tcW w:type="dxa" w:w="29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25 yrs from first increment 2020</w:t>
            </w:r>
          </w:p>
        </w:tc>
      </w:tr>
    </w:tbl>
    <w:p>
      <w:pPr>
        <w:pStyle w:val="Heading3"/>
      </w:pPr>
      <w:r>
        <w:t xml:space="preserve">4.2 Output-Level Reconciliation</w:t>
      </w:r>
    </w:p>
    <w:p>
      <w:pPr>
        <w:spacing w:after="80" w:before="0"/>
      </w:pPr>
      <w:r>
        <w:rPr>
          <w:b w:val="false"/>
          <w:bCs w:val="false"/>
          <w:i w:val="false"/>
          <w:iCs w:val="false"/>
        </w:rPr>
        <w:t xml:space="preserve">Using these parameters, we reproduce every unit-level figure in your April 2026 Update within $86: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60"/>
        <w:gridCol w:w="1900"/>
        <w:gridCol w:w="1900"/>
        <w:gridCol w:w="2100"/>
      </w:tblGrid>
      <w:tr>
        <w:trPr>
          <w:tblHeader/>
        </w:trPr>
        <w:tc>
          <w:tcPr>
            <w:tcW w:type="dxa" w:w="346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left"/>
            </w:pPr>
            <w:r>
              <w:rPr>
                <w:b/>
                <w:bCs/>
                <w:color w:val="FFFFFF"/>
                <w:sz w:val="20"/>
                <w:szCs w:val="20"/>
              </w:rPr>
              <w:t xml:space="preserve">Metric (from your Update)</w:t>
            </w:r>
          </w:p>
        </w:tc>
        <w:tc>
          <w:tcPr>
            <w:tcW w:type="dxa" w:w="19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right"/>
            </w:pPr>
            <w:r>
              <w:rPr>
                <w:b/>
                <w:bCs/>
                <w:color w:val="FFFFFF"/>
                <w:sz w:val="20"/>
                <w:szCs w:val="20"/>
              </w:rPr>
              <w:t xml:space="preserve">Ehlers Published</w:t>
            </w:r>
          </w:p>
        </w:tc>
        <w:tc>
          <w:tcPr>
            <w:tcW w:type="dxa" w:w="19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right"/>
            </w:pPr>
            <w:r>
              <w:rPr>
                <w:b/>
                <w:bCs/>
                <w:color w:val="FFFFFF"/>
                <w:sz w:val="20"/>
                <w:szCs w:val="20"/>
              </w:rPr>
              <w:t xml:space="preserve">KA Model</w:t>
            </w:r>
          </w:p>
        </w:tc>
        <w:tc>
          <w:tcPr>
            <w:tcW w:type="dxa" w:w="21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tcPr>
          <w:p>
            <w:pPr>
              <w:jc w:val="right"/>
            </w:pPr>
            <w:r>
              <w:rPr>
                <w:b/>
                <w:bCs/>
                <w:color w:val="FFFFFF"/>
                <w:sz w:val="20"/>
                <w:szCs w:val="20"/>
              </w:rPr>
              <w:t xml:space="preserve">Variance</w:t>
            </w:r>
          </w:p>
        </w:tc>
      </w:tr>
      <w:tr>
        <w:tc>
          <w:tcPr>
            <w:tcW w:type="dxa" w:w="34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2026 Annual TIF (baseline, no appeal)</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$746,544</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$746,544</w:t>
            </w:r>
          </w:p>
        </w:tc>
        <w:tc>
          <w:tcPr>
            <w:tcW w:type="dxa" w:w="21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color w:val="006100"/>
                <w:sz w:val="20"/>
                <w:szCs w:val="20"/>
              </w:rPr>
              <w:t xml:space="preserve">$0</w:t>
            </w:r>
          </w:p>
        </w:tc>
      </w:tr>
      <w:tr>
        <w:tc>
          <w:tcPr>
            <w:tcW w:type="dxa" w:w="34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2026 Annual TIF (full appeal to MAA Floor)</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$588,232</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$588,176</w:t>
            </w:r>
          </w:p>
        </w:tc>
        <w:tc>
          <w:tcPr>
            <w:tcW w:type="dxa" w:w="21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color w:val="006100"/>
                <w:sz w:val="20"/>
                <w:szCs w:val="20"/>
              </w:rPr>
              <w:t xml:space="preserve">$56</w:t>
            </w:r>
          </w:p>
        </w:tc>
      </w:tr>
      <w:tr>
        <w:tc>
          <w:tcPr>
            <w:tcW w:type="dxa" w:w="34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Annual Gross TIF Reduction at MAA Floor</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−$176,312</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−$176,368</w:t>
            </w:r>
          </w:p>
        </w:tc>
        <w:tc>
          <w:tcPr>
            <w:tcW w:type="dxa" w:w="21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color w:val="006100"/>
                <w:sz w:val="20"/>
                <w:szCs w:val="20"/>
              </w:rPr>
              <w:t xml:space="preserve">$56</w:t>
            </w:r>
          </w:p>
        </w:tc>
      </w:tr>
      <w:tr>
        <w:tc>
          <w:tcPr>
            <w:tcW w:type="dxa" w:w="34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Annual Net-to-Developer Reduction (×90%)</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−$158,681</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−$158,723</w:t>
            </w:r>
          </w:p>
        </w:tc>
        <w:tc>
          <w:tcPr>
            <w:tcW w:type="dxa" w:w="21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color w:val="006100"/>
                <w:sz w:val="20"/>
                <w:szCs w:val="20"/>
              </w:rPr>
              <w:t xml:space="preserve">$42</w:t>
            </w:r>
          </w:p>
        </w:tc>
      </w:tr>
      <w:tr>
        <w:tc>
          <w:tcPr>
            <w:tcW w:type="dxa" w:w="34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TMV Decrease (full appeal to MAA)</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−$11,031,000</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−$11,031,000</w:t>
            </w:r>
          </w:p>
        </w:tc>
        <w:tc>
          <w:tcPr>
            <w:tcW w:type="dxa" w:w="21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color w:val="006100"/>
                <w:sz w:val="20"/>
                <w:szCs w:val="20"/>
              </w:rPr>
              <w:t xml:space="preserve">$0</w:t>
            </w:r>
          </w:p>
        </w:tc>
      </w:tr>
      <w:tr>
        <w:tc>
          <w:tcPr>
            <w:tcW w:type="dxa" w:w="34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left"/>
            </w:pPr>
            <w:r>
              <w:rPr>
                <w:b w:val="false"/>
                <w:bCs w:val="false"/>
                <w:i w:val="false"/>
                <w:iCs w:val="false"/>
                <w:sz w:val="20"/>
                <w:szCs w:val="20"/>
              </w:rPr>
              <w:t xml:space="preserve">NTC Reduction at MAA Floor</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−137,888</w:t>
            </w:r>
          </w:p>
        </w:tc>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sz w:val="20"/>
                <w:szCs w:val="20"/>
              </w:rPr>
              <w:t xml:space="preserve">−137,888</w:t>
            </w:r>
          </w:p>
        </w:tc>
        <w:tc>
          <w:tcPr>
            <w:tcW w:type="dxa" w:w="21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b w:val="false"/>
                <w:bCs w:val="false"/>
                <w:i w:val="false"/>
                <w:iCs w:val="false"/>
                <w:color w:val="006100"/>
                <w:sz w:val="20"/>
                <w:szCs w:val="20"/>
              </w:rPr>
              <w:t xml:space="preserve">0</w:t>
            </w:r>
          </w:p>
        </w:tc>
      </w:tr>
    </w:tbl>
    <w:p>
      <w:pPr>
        <w:spacing w:after="60" w:before="40"/>
      </w:pPr>
      <w:r>
        <w:rPr>
          <w:b w:val="false"/>
          <w:bCs w:val="false"/>
          <w:i/>
          <w:iCs/>
          <w:sz w:val="20"/>
          <w:szCs w:val="20"/>
        </w:rPr>
        <w:t xml:space="preserve">The maximum variance is $86 across any single metric, attributable to penny-rounding in the published figures. This level of agreement satisfies us that our underlying mechanics are correct.</w:t>
      </w:r>
    </w:p>
    <w:p>
      <w:pPr>
        <w:pStyle w:val="Heading1"/>
      </w:pPr>
      <w:r>
        <w:t xml:space="preserve">5. Scenario Mechanics — How Each Case Differs</w:t>
      </w:r>
    </w:p>
    <w:p>
      <w:pPr>
        <w:pStyle w:val="Heading2"/>
      </w:pPr>
      <w:r>
        <w:t xml:space="preserve">5.1 S1 Baseline — No Appeal</w:t>
      </w:r>
    </w:p>
    <w:p>
      <w:pPr>
        <w:spacing w:after="80" w:before="0"/>
      </w:pPr>
      <w:r>
        <w:rPr>
          <w:b w:val="false"/>
          <w:bCs w:val="false"/>
          <w:i w:val="false"/>
          <w:iCs w:val="false"/>
        </w:rPr>
        <w:t xml:space="preserve">TMV held at the 2025 value of $54,866,000 with 4% annual growth applied through 2045. This is intentionally conservative on the growth side; the County's 2026 set value of $52,151,000 actually represents a year-over-year decline. We used the higher 2025 value as the baseline so that the comparison against appeal scenarios is not artificially inflated by an already-declining assessed value.</w:t>
      </w:r>
    </w:p>
    <w:p>
      <w:pPr>
        <w:pStyle w:val="Heading2"/>
      </w:pPr>
      <w:r>
        <w:t xml:space="preserve">5.2 S2 Mid Appeal — Target $50M</w:t>
      </w:r>
    </w:p>
    <w:p>
      <w:pPr>
        <w:spacing w:after="80" w:before="0"/>
      </w:pPr>
      <w:r>
        <w:rPr>
          <w:b w:val="false"/>
          <w:bCs w:val="false"/>
          <w:i w:val="false"/>
          <w:iCs w:val="false"/>
        </w:rPr>
        <w:t xml:space="preserve">First appeal lands at $50,000,000 in 2026 (a 4.1% reduction from the County's set value). Re-appeals every 5 years bring the assessed value back to a $50M-anchored growth line (~2.81% effective CAGR). Nick has characterized this as a conservative-to-moderate negotiation outcome.</w:t>
      </w:r>
    </w:p>
    <w:p>
      <w:pPr>
        <w:pStyle w:val="Heading2"/>
      </w:pPr>
      <w:r>
        <w:t xml:space="preserve">5.3 S3 Aggressive Appeal — Target $47.5M</w:t>
      </w:r>
    </w:p>
    <w:p>
      <w:pPr>
        <w:spacing w:after="80" w:before="0"/>
      </w:pPr>
      <w:r>
        <w:rPr>
          <w:b w:val="false"/>
          <w:bCs w:val="false"/>
          <w:i w:val="false"/>
          <w:iCs w:val="false"/>
        </w:rPr>
        <w:t xml:space="preserve">First appeal lands at $47,500,000 in 2026 (an 8.9% reduction). Re-appeals every 5 years to a $47.5M-anchored line (~2.5% effective CAGR). Nick has indicated this is achievable based on recent comparable settlements.</w:t>
      </w:r>
    </w:p>
    <w:p>
      <w:pPr>
        <w:pStyle w:val="Heading2"/>
      </w:pPr>
      <w:r>
        <w:t xml:space="preserve">5.4 S4 MAA Floor — Target $43.835M</w:t>
      </w:r>
    </w:p>
    <w:p>
      <w:pPr>
        <w:spacing w:after="80" w:before="0"/>
      </w:pPr>
      <w:r>
        <w:rPr>
          <w:b w:val="false"/>
          <w:bCs w:val="false"/>
          <w:i w:val="false"/>
          <w:iCs w:val="false"/>
        </w:rPr>
        <w:t xml:space="preserve">First appeal lands at $43,835,000 in 2026 — the contractual minimum recorded in the MAA. Re-appeals every 5 years re-anchor the assessment back to the MAA Floor. This represents the maximum mathematically and legally permissible benefit; the assessor cannot value the property below the MAA Floor while the MAA remains in effect.</w:t>
      </w:r>
    </w:p>
    <w:p>
      <w:pPr>
        <w:spacing w:after="60" w:before="0"/>
      </w:pPr>
      <w:r>
        <w:rPr>
          <w:b w:val="false"/>
          <w:bCs w:val="false"/>
          <w:i/>
          <w:iCs/>
          <w:sz w:val="20"/>
          <w:szCs w:val="20"/>
        </w:rPr>
        <w:t xml:space="preserve">Important: this is not the same as "appealing into TIF default." The TIF Note remains payable in full under S4 — payoff simply extends to 2044 (still one year before 2045 decertification). And per Note §3, even if the Note were not paid off, any balance at 2/1/2046 maturity is forgiven without LLC recourse.</w:t>
      </w:r>
    </w:p>
    <w:p>
      <w:pPr>
        <w:pStyle w:val="Heading1"/>
      </w:pPr>
      <w:r>
        <w:t xml:space="preserve">6. Specific Items for Ehlers' Review</w:t>
      </w:r>
    </w:p>
    <w:p>
      <w:pPr>
        <w:spacing w:after="80" w:before="0"/>
      </w:pPr>
      <w:r>
        <w:rPr>
          <w:b w:val="false"/>
          <w:bCs w:val="false"/>
          <w:i w:val="false"/>
          <w:iCs w:val="false"/>
        </w:rPr>
        <w:t xml:space="preserve">We would appreciate your confirmation or correction on the following items, ordered by importance:</w:t>
      </w:r>
    </w:p>
    <w:p>
      <w:pPr>
        <w:pStyle w:val="Heading3"/>
      </w:pPr>
      <w:r>
        <w:t xml:space="preserve">6.1 Critical (please confirm)</w:t>
      </w:r>
    </w:p>
    <w:p>
      <w:pPr>
        <w:pStyle w:val="ListParagraph"/>
        <w:numPr>
          <w:ilvl w:val="0"/>
          <w:numId w:val="2"/>
        </w:numPr>
        <w:spacing w:after="30" w:before="30"/>
      </w:pPr>
      <w:r>
        <w:rPr>
          <w:b/>
          <w:bCs/>
        </w:rPr>
        <w:t xml:space="preserve">ONTC value of $37,179. </w:t>
      </w:r>
      <w:r>
        <w:t xml:space="preserve">We reverse-engineered this to reproduce your published $746,544 baseline TIF. Is this the value reflected in your model?</w:t>
      </w:r>
    </w:p>
    <w:p>
      <w:pPr>
        <w:pStyle w:val="ListParagraph"/>
        <w:numPr>
          <w:ilvl w:val="0"/>
          <w:numId w:val="2"/>
        </w:numPr>
        <w:spacing w:after="30" w:before="30"/>
      </w:pPr>
      <w:r>
        <w:rPr>
          <w:b/>
          <w:bCs/>
        </w:rPr>
        <w:t xml:space="preserve">Tax Capacity Rate of 1.27866 for 2026. </w:t>
      </w:r>
      <w:r>
        <w:t xml:space="preserve">Reverse-engineered. Is this consistent with the most recent Hennepin County certified rate you have?</w:t>
      </w:r>
    </w:p>
    <w:p>
      <w:pPr>
        <w:pStyle w:val="ListParagraph"/>
        <w:numPr>
          <w:ilvl w:val="0"/>
          <w:numId w:val="2"/>
        </w:numPr>
        <w:spacing w:after="30" w:before="30"/>
      </w:pPr>
      <w:r>
        <w:rPr>
          <w:b/>
          <w:bCs/>
        </w:rPr>
        <w:t xml:space="preserve">Methodology for translating TMV reduction to TIF impact. </w:t>
      </w:r>
      <w:r>
        <w:t xml:space="preserve">We model gross TIF reduction = TMV reduction × ClassRate × TaxCapRate, with net-to-developer = gross × (1 − Admin − OSA). Does this match your approach?</w:t>
      </w:r>
    </w:p>
    <w:p>
      <w:pPr>
        <w:pStyle w:val="Heading3"/>
      </w:pPr>
      <w:r>
        <w:t xml:space="preserve">6.2 Confirmatory (please review)</w:t>
      </w:r>
    </w:p>
    <w:p>
      <w:pPr>
        <w:pStyle w:val="ListParagraph"/>
        <w:numPr>
          <w:ilvl w:val="0"/>
          <w:numId w:val="2"/>
        </w:numPr>
        <w:spacing w:after="30" w:before="30"/>
      </w:pPr>
      <w:r>
        <w:rPr>
          <w:b/>
          <w:bCs/>
        </w:rPr>
        <w:t xml:space="preserve">Multi-year appeal modeling. </w:t>
      </w:r>
      <w:r>
        <w:t xml:space="preserve">S2/S3/S4 assume re-appeal every 5 years to re-anchor the assessed value. Is this a reasonable assumption given typical assessor behavior post-appeal, or do we expect natural value drift to be more or less than the 4% growth we model between appeals?</w:t>
      </w:r>
    </w:p>
    <w:p>
      <w:pPr>
        <w:pStyle w:val="ListParagraph"/>
        <w:numPr>
          <w:ilvl w:val="0"/>
          <w:numId w:val="2"/>
        </w:numPr>
        <w:spacing w:after="30" w:before="30"/>
      </w:pPr>
      <w:r>
        <w:rPr>
          <w:b/>
          <w:bCs/>
        </w:rPr>
        <w:t xml:space="preserve">Attorney-fee structure. </w:t>
      </w:r>
      <w:r>
        <w:t xml:space="preserve">25% of first-year property tax savings, applied once per appeal settlement. Is this consistent with typical Minnesota TIF property appeal cost structures you have seen?</w:t>
      </w:r>
    </w:p>
    <w:p>
      <w:pPr>
        <w:pStyle w:val="ListParagraph"/>
        <w:numPr>
          <w:ilvl w:val="0"/>
          <w:numId w:val="2"/>
        </w:numPr>
        <w:spacing w:after="30" w:before="30"/>
      </w:pPr>
      <w:r>
        <w:rPr>
          <w:b/>
          <w:bCs/>
        </w:rPr>
        <w:t xml:space="preserve">Discount rate selection. </w:t>
      </w:r>
      <w:r>
        <w:t xml:space="preserve">We use 5% as primary, with sensitivity at 6/7/8%. For a stabilized TIF-supported multifamily asset, is 5% within the band Ehlers would use for similar comparative analysis?</w:t>
      </w:r>
    </w:p>
    <w:p>
      <w:pPr>
        <w:pStyle w:val="Heading3"/>
      </w:pPr>
      <w:r>
        <w:t xml:space="preserve">6.3 Optional</w:t>
      </w:r>
    </w:p>
    <w:p>
      <w:pPr>
        <w:pStyle w:val="ListParagraph"/>
        <w:numPr>
          <w:ilvl w:val="0"/>
          <w:numId w:val="2"/>
        </w:numPr>
        <w:spacing w:after="30" w:before="30"/>
      </w:pPr>
      <w:r>
        <w:rPr>
          <w:b/>
          <w:bCs/>
        </w:rPr>
        <w:t xml:space="preserve">Post-2045 value carryover. </w:t>
      </w:r>
      <w:r>
        <w:t xml:space="preserve">Our model truncates at 2045; in reality the lower assessed value continues to produce property tax savings indefinitely. Is there a standard convention in Ehlers' practice for handling post-decertification tail benefit (e.g., capitalized residual, additional years)?</w:t>
      </w:r>
    </w:p>
    <w:p>
      <w:pPr>
        <w:pStyle w:val="ListParagraph"/>
        <w:numPr>
          <w:ilvl w:val="0"/>
          <w:numId w:val="2"/>
        </w:numPr>
        <w:spacing w:after="30" w:before="30"/>
      </w:pPr>
      <w:r>
        <w:rPr>
          <w:b/>
          <w:bCs/>
        </w:rPr>
        <w:t xml:space="preserve">HRA/City posture. </w:t>
      </w:r>
      <w:r>
        <w:t xml:space="preserve">If we proceed with an appeal to the MAA Floor, do you anticipate any City/HRA reaction beyond noting the longer Note payoff timeline (2044 vs. 2039 baseline)? Both still fall before 2045 decertification.</w:t>
      </w:r>
    </w:p>
    <w:p>
      <w:pPr>
        <w:pStyle w:val="Heading1"/>
      </w:pPr>
      <w:r>
        <w:t xml:space="preserve">7. Attachments and Next Steps</w:t>
      </w:r>
    </w:p>
    <w:p>
      <w:pPr>
        <w:spacing w:after="80" w:before="0"/>
      </w:pPr>
      <w:r>
        <w:rPr>
          <w:b w:val="false"/>
          <w:bCs w:val="false"/>
          <w:i w:val="false"/>
          <w:iCs w:val="false"/>
        </w:rPr>
        <w:t xml:space="preserve">Provided with this memo for your reference:</w:t>
      </w:r>
    </w:p>
    <w:p>
      <w:pPr>
        <w:pStyle w:val="ListParagraph"/>
        <w:numPr>
          <w:ilvl w:val="0"/>
          <w:numId w:val="2"/>
        </w:numPr>
        <w:spacing w:after="30" w:before="30"/>
      </w:pPr>
      <w:r>
        <w:rPr>
          <w:b/>
          <w:bCs/>
        </w:rPr>
        <w:t xml:space="preserve">Addendum B — KA Analysis Backup. </w:t>
      </w:r>
      <w:r>
        <w:t xml:space="preserve">Full source citations, parameter derivations, year-by-year scenario detail, Note amortization tables, NPV sensitivity grid, and glossary.</w:t>
      </w:r>
    </w:p>
    <w:p>
      <w:pPr>
        <w:pStyle w:val="ListParagraph"/>
        <w:numPr>
          <w:ilvl w:val="0"/>
          <w:numId w:val="2"/>
        </w:numPr>
        <w:spacing w:after="30" w:before="30"/>
      </w:pPr>
      <w:r>
        <w:rPr>
          <w:b/>
          <w:bCs/>
        </w:rPr>
        <w:t xml:space="preserve">Chamberlain Live TIF Model (Excel). </w:t>
      </w:r>
      <w:r>
        <w:t xml:space="preserve">14-tab live workbook with all parameters in dedicated input cells, transparent scenario logic, and adjustable assumptions for stress-testing.</w:t>
      </w:r>
    </w:p>
    <w:p>
      <w:pPr>
        <w:spacing w:after="80" w:before="0"/>
      </w:pPr>
      <w:r>
        <w:rPr>
          <w:b w:val="false"/>
          <w:bCs w:val="false"/>
          <w:i w:val="false"/>
          <w:iCs w:val="false"/>
        </w:rPr>
        <w:t xml:space="preserve">We are happy to walk through any portion of the model on a call. If there are inputs you would model differently, we would welcome the chance to update accordingly before we finalize our position on appeal settlement value with Nick and the County.</w:t>
      </w:r>
    </w:p>
    <w:p>
      <w:pPr>
        <w:spacing w:after="80" w:before="0"/>
      </w:pPr>
      <w:r>
        <w:rPr>
          <w:b w:val="false"/>
          <w:bCs w:val="false"/>
          <w:i w:val="false"/>
          <w:iCs w:val="false"/>
        </w:rPr>
        <w:t xml:space="preserve">Please direct any questions to Kraus-Anderson Asset Management or to Nick Furia (tax counsel) at the contact information on file. We appreciate the time and look forward to your response.</w:t>
      </w:r>
    </w:p>
    <w:p>
      <w:pPr>
        <w:pBdr>
          <w:top w:val="single" w:color="1F4E78" w:sz="4" w:space="4"/>
        </w:pBdr>
        <w:spacing w:after="100" w:before="100"/>
      </w:pPr>
      <w:r>
        <w:t xml:space="preserve"/>
      </w:r>
    </w:p>
    <w:p>
      <w:pPr>
        <w:spacing w:after="0" w:before="0"/>
        <w:jc w:val="center"/>
      </w:pPr>
      <w:r>
        <w:rPr>
          <w:i/>
          <w:iCs/>
          <w:color w:val="555555"/>
          <w:sz w:val="18"/>
          <w:szCs w:val="18"/>
        </w:rPr>
        <w:t xml:space="preserve">Prepared by Kraus-Anderson Asset Management for transmittal to Ehlers Inc.</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Chamberlain TIF &amp; Tax — Technical Confirmation Request  |  </w:t>
    </w:r>
    <w:r>
      <w:rPr>
        <w:b/>
        <w:bCs/>
        <w:color w:val="C00000"/>
        <w:sz w:val="16"/>
        <w:szCs w:val="16"/>
      </w:rPr>
      <w:t xml:space="preserve">PRIVILEGED &amp; CONFIDENTIAL — INTERNAL USE ONLY</w:t>
    </w:r>
    <w:r>
      <w:rPr>
        <w:color w:val="808080"/>
        <w:sz w:val="16"/>
        <w:szCs w:val="16"/>
      </w:rPr>
      <w:t xml:space="preserve">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4" w:space="4"/>
      </w:pBdr>
      <w:jc w:val="left"/>
    </w:pPr>
    <w:r>
      <w:rPr>
        <w:b/>
        <w:bCs/>
        <w:color w:val="1F4E78"/>
        <w:sz w:val="18"/>
        <w:szCs w:val="18"/>
      </w:rPr>
      <w:t xml:space="preserve">CHAMBERLAIN APARTMENTS  </w:t>
    </w:r>
    <w:r>
      <w:rPr>
        <w:color w:val="808080"/>
        <w:sz w:val="16"/>
        <w:szCs w:val="16"/>
      </w:rPr>
      <w:t xml:space="preserve"> |  Kraus-Anderson Asset Management  |  Chamberlain TIF &amp; Tax — Technical Confirmation Request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Error #%1."/>
      <w:lvlJc w:val="left"/>
      <w:pPr>
        <w:ind w:left="0" w:hanging="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F4E78"/>
      <w:sz w:val="28"/>
      <w:szCs w:val="28"/>
    </w:rPr>
  </w:style>
  <w:style w:type="paragraph" w:styleId="Heading2">
    <w:name w:val="Heading 2"/>
    <w:basedOn w:val="Normal"/>
    <w:next w:val="Normal"/>
    <w:qFormat/>
    <w:pPr>
      <w:spacing w:after="60" w:before="140"/>
      <w:outlineLvl w:val="1"/>
    </w:pPr>
    <w:rPr>
      <w:rFonts w:ascii="Arial" w:cs="Arial" w:eastAsia="Arial" w:hAnsi="Arial"/>
      <w:b/>
      <w:bCs/>
      <w:color w:val="1F4E78"/>
      <w:sz w:val="24"/>
      <w:szCs w:val="24"/>
    </w:rPr>
  </w:style>
  <w:style w:type="paragraph" w:styleId="Heading3">
    <w:name w:val="Heading 3"/>
    <w:basedOn w:val="Normal"/>
    <w:next w:val="Normal"/>
    <w:qFormat/>
    <w:pPr>
      <w:spacing w:after="40" w:before="100"/>
      <w:outlineLvl w:val="2"/>
    </w:pPr>
    <w:rPr>
      <w:rFonts w:ascii="Arial" w:cs="Arial" w:eastAsia="Arial" w:hAnsi="Arial"/>
      <w:b/>
      <w:bCs/>
      <w:color w:val="1F4E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Chamberlain TIF — Technical Memo to Ehlers</dc:title>
  <dc:creator>Kraus-Anderson Asset Management</dc:creator>
  <dc:description>Methodological review request — TIF mechanics, parameter reconciliation, scenario impact analysis</dc:description>
  <cp:lastModifiedBy>Un-named</cp:lastModifiedBy>
  <cp:revision>1</cp:revision>
  <dcterms:created xsi:type="dcterms:W3CDTF">2026-05-13T15:54:00.371Z</dcterms:created>
  <dcterms:modified xsi:type="dcterms:W3CDTF">2026-05-13T15:54:00.371Z</dcterms:modified>
</cp:coreProperties>
</file>

<file path=docProps/custom.xml><?xml version="1.0" encoding="utf-8"?>
<Properties xmlns="http://schemas.openxmlformats.org/officeDocument/2006/custom-properties" xmlns:vt="http://schemas.openxmlformats.org/officeDocument/2006/docPropsVTypes"/>
</file>