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4C3F22" w:rsidRDefault="004C3F22">
      <w:pPr>
        <w:pBdr>
          <w:top w:val="nil"/>
          <w:left w:val="nil"/>
          <w:bottom w:val="nil"/>
          <w:right w:val="nil"/>
          <w:between w:val="nil"/>
        </w:pBdr>
        <w:spacing w:after="0" w:line="240" w:lineRule="auto"/>
        <w:rPr>
          <w:b/>
          <w:color w:val="000000"/>
        </w:rPr>
      </w:pPr>
      <w:bookmarkStart w:id="0" w:name="_cvm74sz6032c" w:colFirst="0" w:colLast="0"/>
      <w:bookmarkEnd w:id="0"/>
    </w:p>
    <w:p w14:paraId="0A37501D" w14:textId="77777777" w:rsidR="004C3F22" w:rsidRDefault="004C3F22">
      <w:pPr>
        <w:pBdr>
          <w:top w:val="nil"/>
          <w:left w:val="nil"/>
          <w:bottom w:val="nil"/>
          <w:right w:val="nil"/>
          <w:between w:val="nil"/>
        </w:pBdr>
        <w:spacing w:after="0" w:line="240" w:lineRule="auto"/>
        <w:rPr>
          <w:b/>
          <w:color w:val="000000"/>
        </w:rPr>
      </w:pPr>
    </w:p>
    <w:p w14:paraId="111BF68B" w14:textId="77777777" w:rsidR="004C3F22" w:rsidRDefault="009E06EB">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b/>
          <w:color w:val="000000"/>
        </w:rPr>
        <w:t>FACULTAD DE INGENIERÍA, ARQUITECTURA Y DISEÑO</w:t>
      </w:r>
      <w:r>
        <w:rPr>
          <w:color w:val="000000"/>
          <w:sz w:val="20"/>
          <w:szCs w:val="20"/>
        </w:rPr>
        <w:t> </w:t>
      </w:r>
    </w:p>
    <w:p w14:paraId="01B24D0D" w14:textId="77777777" w:rsidR="004C3F22" w:rsidRDefault="009E06EB">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b/>
          <w:color w:val="000000"/>
        </w:rPr>
        <w:t>MAGISTER EN DATA SCIENCE</w:t>
      </w:r>
    </w:p>
    <w:p w14:paraId="4D17554C" w14:textId="77777777" w:rsidR="004C3F22" w:rsidRDefault="009E06EB">
      <w:pPr>
        <w:pBdr>
          <w:top w:val="nil"/>
          <w:left w:val="nil"/>
          <w:bottom w:val="nil"/>
          <w:right w:val="nil"/>
          <w:between w:val="nil"/>
        </w:pBdr>
        <w:spacing w:after="0" w:line="240" w:lineRule="auto"/>
        <w:rPr>
          <w:rFonts w:ascii="Quattrocento Sans" w:eastAsia="Quattrocento Sans" w:hAnsi="Quattrocento Sans" w:cs="Quattrocento Sans"/>
          <w:color w:val="000000"/>
          <w:sz w:val="18"/>
          <w:szCs w:val="18"/>
        </w:rPr>
      </w:pPr>
      <w:r>
        <w:rPr>
          <w:b/>
          <w:color w:val="000000"/>
        </w:rPr>
        <w:t> </w:t>
      </w:r>
      <w:r>
        <w:rPr>
          <w:color w:val="000000"/>
          <w:sz w:val="20"/>
          <w:szCs w:val="20"/>
        </w:rPr>
        <w:t> </w:t>
      </w:r>
    </w:p>
    <w:p w14:paraId="5DAB6C7B" w14:textId="77777777" w:rsidR="004C3F22" w:rsidRDefault="009E06EB">
      <w:r>
        <w:br/>
      </w:r>
    </w:p>
    <w:p w14:paraId="02EB378F" w14:textId="77777777" w:rsidR="004C3F22" w:rsidRDefault="004C3F22">
      <w:pPr>
        <w:rPr>
          <w:b/>
        </w:rPr>
      </w:pPr>
    </w:p>
    <w:p w14:paraId="6A05A809" w14:textId="77777777" w:rsidR="004C3F22" w:rsidRDefault="004C3F22">
      <w:pPr>
        <w:rPr>
          <w:b/>
        </w:rPr>
      </w:pPr>
    </w:p>
    <w:p w14:paraId="3B6D3D9C" w14:textId="77777777" w:rsidR="004C3F22" w:rsidRDefault="009E06EB" w:rsidP="0123A644">
      <w:pPr>
        <w:spacing w:after="0" w:line="276" w:lineRule="auto"/>
        <w:jc w:val="center"/>
        <w:rPr>
          <w:b/>
          <w:bCs/>
          <w:sz w:val="28"/>
          <w:szCs w:val="28"/>
        </w:rPr>
      </w:pPr>
      <w:r w:rsidRPr="0123A644">
        <w:rPr>
          <w:b/>
          <w:bCs/>
          <w:sz w:val="28"/>
          <w:szCs w:val="28"/>
        </w:rPr>
        <w:t xml:space="preserve">INTEGRACIÓN DE NLP EN LA GESTIÓN DE </w:t>
      </w:r>
      <w:bookmarkStart w:id="1" w:name="_Int_MsRt51D8"/>
      <w:r w:rsidRPr="0123A644">
        <w:rPr>
          <w:b/>
          <w:bCs/>
          <w:sz w:val="28"/>
          <w:szCs w:val="28"/>
        </w:rPr>
        <w:t>TICKETS</w:t>
      </w:r>
      <w:bookmarkEnd w:id="1"/>
      <w:r w:rsidRPr="0123A644">
        <w:rPr>
          <w:b/>
          <w:bCs/>
          <w:sz w:val="28"/>
          <w:szCs w:val="28"/>
        </w:rPr>
        <w:t xml:space="preserve"> DE SOPORTE TÉCNICO </w:t>
      </w:r>
    </w:p>
    <w:p w14:paraId="5A39BBE3" w14:textId="77777777" w:rsidR="004C3F22" w:rsidRDefault="004C3F22">
      <w:pPr>
        <w:spacing w:after="0" w:line="276" w:lineRule="auto"/>
        <w:jc w:val="center"/>
      </w:pPr>
    </w:p>
    <w:p w14:paraId="39359AB6" w14:textId="77777777" w:rsidR="004C3F22" w:rsidRDefault="009E06EB">
      <w:pPr>
        <w:spacing w:after="0" w:line="276" w:lineRule="auto"/>
        <w:jc w:val="center"/>
      </w:pPr>
      <w:r>
        <w:t xml:space="preserve">Proyecto para optar al Grado de </w:t>
      </w:r>
    </w:p>
    <w:p w14:paraId="2118EBB6" w14:textId="77777777" w:rsidR="004C3F22" w:rsidRDefault="009E06EB">
      <w:pPr>
        <w:spacing w:after="0" w:line="276" w:lineRule="auto"/>
        <w:jc w:val="center"/>
      </w:pPr>
      <w:r>
        <w:t xml:space="preserve">Magister en Data </w:t>
      </w:r>
      <w:proofErr w:type="spellStart"/>
      <w:r>
        <w:t>Science</w:t>
      </w:r>
      <w:proofErr w:type="spellEnd"/>
    </w:p>
    <w:p w14:paraId="41C8F396" w14:textId="77777777" w:rsidR="004C3F22" w:rsidRDefault="004C3F22">
      <w:pPr>
        <w:spacing w:after="0" w:line="276" w:lineRule="auto"/>
        <w:jc w:val="center"/>
      </w:pPr>
    </w:p>
    <w:p w14:paraId="72A3D3EC" w14:textId="77777777" w:rsidR="004C3F22" w:rsidRDefault="004C3F22">
      <w:pPr>
        <w:jc w:val="center"/>
      </w:pPr>
    </w:p>
    <w:p w14:paraId="0D0B940D" w14:textId="77777777" w:rsidR="004C3F22" w:rsidRDefault="004C3F22">
      <w:pPr>
        <w:jc w:val="center"/>
      </w:pPr>
    </w:p>
    <w:p w14:paraId="0E27B00A" w14:textId="77777777" w:rsidR="004C3F22" w:rsidRDefault="004C3F22">
      <w:pPr>
        <w:jc w:val="center"/>
      </w:pPr>
    </w:p>
    <w:p w14:paraId="60061E4C" w14:textId="77777777" w:rsidR="004C3F22" w:rsidRDefault="004C3F22">
      <w:pPr>
        <w:jc w:val="center"/>
      </w:pPr>
    </w:p>
    <w:tbl>
      <w:tblPr>
        <w:tblStyle w:val="a"/>
        <w:tblW w:w="7059" w:type="dxa"/>
        <w:tblInd w:w="1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8"/>
        <w:gridCol w:w="422"/>
        <w:gridCol w:w="4509"/>
      </w:tblGrid>
      <w:tr w:rsidR="004C3F22" w14:paraId="395F1D3A" w14:textId="77777777">
        <w:tc>
          <w:tcPr>
            <w:tcW w:w="2128" w:type="dxa"/>
            <w:tcBorders>
              <w:top w:val="nil"/>
              <w:left w:val="nil"/>
              <w:bottom w:val="nil"/>
              <w:right w:val="nil"/>
            </w:tcBorders>
          </w:tcPr>
          <w:p w14:paraId="66CAAB6E" w14:textId="77777777" w:rsidR="004C3F22" w:rsidRDefault="009E06EB">
            <w:pPr>
              <w:spacing w:after="0"/>
              <w:jc w:val="left"/>
            </w:pPr>
            <w:r>
              <w:t>Profesor Guía</w:t>
            </w:r>
          </w:p>
        </w:tc>
        <w:tc>
          <w:tcPr>
            <w:tcW w:w="422" w:type="dxa"/>
            <w:tcBorders>
              <w:top w:val="nil"/>
              <w:left w:val="nil"/>
              <w:bottom w:val="nil"/>
              <w:right w:val="nil"/>
            </w:tcBorders>
          </w:tcPr>
          <w:p w14:paraId="2127E81B" w14:textId="77777777" w:rsidR="004C3F22" w:rsidRDefault="009E06EB">
            <w:pPr>
              <w:spacing w:after="0"/>
              <w:jc w:val="center"/>
            </w:pPr>
            <w:r>
              <w:t>:</w:t>
            </w:r>
          </w:p>
        </w:tc>
        <w:tc>
          <w:tcPr>
            <w:tcW w:w="4509" w:type="dxa"/>
            <w:tcBorders>
              <w:top w:val="nil"/>
              <w:left w:val="nil"/>
              <w:bottom w:val="nil"/>
              <w:right w:val="nil"/>
            </w:tcBorders>
          </w:tcPr>
          <w:p w14:paraId="4A7EABA9" w14:textId="77777777" w:rsidR="004C3F22" w:rsidRDefault="009E06EB">
            <w:pPr>
              <w:spacing w:after="0"/>
              <w:jc w:val="left"/>
            </w:pPr>
            <w:r>
              <w:t>Matías Greco</w:t>
            </w:r>
          </w:p>
        </w:tc>
      </w:tr>
      <w:tr w:rsidR="004C3F22" w14:paraId="57C43C14" w14:textId="77777777">
        <w:tc>
          <w:tcPr>
            <w:tcW w:w="2128" w:type="dxa"/>
            <w:tcBorders>
              <w:top w:val="nil"/>
              <w:left w:val="nil"/>
              <w:bottom w:val="nil"/>
              <w:right w:val="nil"/>
            </w:tcBorders>
          </w:tcPr>
          <w:p w14:paraId="6E9EC88B" w14:textId="77777777" w:rsidR="004C3F22" w:rsidRDefault="009E06EB">
            <w:pPr>
              <w:spacing w:after="0"/>
              <w:jc w:val="left"/>
            </w:pPr>
            <w:r>
              <w:t>Profesor Co-Guía</w:t>
            </w:r>
          </w:p>
        </w:tc>
        <w:tc>
          <w:tcPr>
            <w:tcW w:w="422" w:type="dxa"/>
            <w:tcBorders>
              <w:top w:val="nil"/>
              <w:left w:val="nil"/>
              <w:bottom w:val="nil"/>
              <w:right w:val="nil"/>
            </w:tcBorders>
          </w:tcPr>
          <w:p w14:paraId="67A8245E" w14:textId="77777777" w:rsidR="004C3F22" w:rsidRDefault="009E06EB">
            <w:pPr>
              <w:spacing w:after="0"/>
              <w:jc w:val="center"/>
            </w:pPr>
            <w:r>
              <w:t>:</w:t>
            </w:r>
          </w:p>
        </w:tc>
        <w:tc>
          <w:tcPr>
            <w:tcW w:w="4509" w:type="dxa"/>
            <w:tcBorders>
              <w:top w:val="nil"/>
              <w:left w:val="nil"/>
              <w:bottom w:val="nil"/>
              <w:right w:val="nil"/>
            </w:tcBorders>
          </w:tcPr>
          <w:p w14:paraId="44EAFD9C" w14:textId="77777777" w:rsidR="004C3F22" w:rsidRDefault="004C3F22">
            <w:pPr>
              <w:spacing w:after="0"/>
              <w:jc w:val="left"/>
            </w:pPr>
          </w:p>
        </w:tc>
      </w:tr>
      <w:tr w:rsidR="004C3F22" w14:paraId="2DEBA3C6" w14:textId="77777777">
        <w:tc>
          <w:tcPr>
            <w:tcW w:w="2128" w:type="dxa"/>
            <w:tcBorders>
              <w:top w:val="nil"/>
              <w:left w:val="nil"/>
              <w:bottom w:val="nil"/>
              <w:right w:val="nil"/>
            </w:tcBorders>
          </w:tcPr>
          <w:p w14:paraId="2935329D" w14:textId="77777777" w:rsidR="004C3F22" w:rsidRDefault="009E06EB">
            <w:pPr>
              <w:spacing w:after="0"/>
              <w:jc w:val="left"/>
            </w:pPr>
            <w:r>
              <w:t>Estudiante</w:t>
            </w:r>
          </w:p>
        </w:tc>
        <w:tc>
          <w:tcPr>
            <w:tcW w:w="422" w:type="dxa"/>
            <w:tcBorders>
              <w:top w:val="nil"/>
              <w:left w:val="nil"/>
              <w:bottom w:val="nil"/>
              <w:right w:val="nil"/>
            </w:tcBorders>
          </w:tcPr>
          <w:p w14:paraId="56A8759A" w14:textId="77777777" w:rsidR="004C3F22" w:rsidRDefault="009E06EB">
            <w:pPr>
              <w:spacing w:after="0"/>
              <w:jc w:val="center"/>
            </w:pPr>
            <w:r>
              <w:rPr>
                <w:b/>
              </w:rPr>
              <w:t>:</w:t>
            </w:r>
          </w:p>
        </w:tc>
        <w:tc>
          <w:tcPr>
            <w:tcW w:w="4509" w:type="dxa"/>
            <w:tcBorders>
              <w:top w:val="nil"/>
              <w:left w:val="nil"/>
              <w:bottom w:val="nil"/>
              <w:right w:val="nil"/>
            </w:tcBorders>
          </w:tcPr>
          <w:p w14:paraId="7ECBD4BC" w14:textId="77777777" w:rsidR="004C3F22" w:rsidRDefault="009E06EB">
            <w:pPr>
              <w:spacing w:after="0"/>
              <w:jc w:val="left"/>
            </w:pPr>
            <w:r>
              <w:t>Harold Gómez</w:t>
            </w:r>
          </w:p>
        </w:tc>
      </w:tr>
    </w:tbl>
    <w:p w14:paraId="4B94D5A5" w14:textId="77777777" w:rsidR="004C3F22" w:rsidRDefault="004C3F22">
      <w:pPr>
        <w:sectPr w:rsidR="004C3F22">
          <w:headerReference w:type="default" r:id="rId8"/>
          <w:pgSz w:w="12240" w:h="15840"/>
          <w:pgMar w:top="2127" w:right="1418" w:bottom="1418" w:left="2268" w:header="0" w:footer="0" w:gutter="0"/>
          <w:pgNumType w:start="1"/>
          <w:cols w:space="720"/>
        </w:sectPr>
      </w:pPr>
    </w:p>
    <w:p w14:paraId="3DEEC669" w14:textId="77777777" w:rsidR="004C3F22" w:rsidRDefault="004C3F22">
      <w:pPr>
        <w:spacing w:line="240" w:lineRule="auto"/>
      </w:pPr>
    </w:p>
    <w:p w14:paraId="3656B9AB" w14:textId="77777777" w:rsidR="004C3F22" w:rsidRDefault="004C3F22">
      <w:pPr>
        <w:rPr>
          <w:b/>
          <w:smallCaps/>
          <w:color w:val="000000"/>
        </w:rPr>
      </w:pPr>
    </w:p>
    <w:p w14:paraId="45FB0818" w14:textId="77777777" w:rsidR="004C3F22" w:rsidRDefault="004C3F22">
      <w:pPr>
        <w:rPr>
          <w:b/>
          <w:smallCaps/>
          <w:color w:val="000000"/>
        </w:rPr>
      </w:pPr>
    </w:p>
    <w:p w14:paraId="049F31CB" w14:textId="77777777" w:rsidR="004C3F22" w:rsidRDefault="004C3F22">
      <w:pPr>
        <w:rPr>
          <w:b/>
          <w:smallCaps/>
          <w:color w:val="000000"/>
        </w:rPr>
      </w:pPr>
    </w:p>
    <w:p w14:paraId="53128261" w14:textId="77777777" w:rsidR="004C3F22" w:rsidRDefault="004C3F22">
      <w:pPr>
        <w:rPr>
          <w:b/>
          <w:smallCaps/>
          <w:color w:val="000000"/>
        </w:rPr>
      </w:pPr>
    </w:p>
    <w:p w14:paraId="62486C05" w14:textId="77777777" w:rsidR="004C3F22" w:rsidRDefault="004C3F22">
      <w:pPr>
        <w:rPr>
          <w:b/>
          <w:smallCaps/>
          <w:color w:val="000000"/>
        </w:rPr>
      </w:pPr>
    </w:p>
    <w:p w14:paraId="4101652C" w14:textId="77777777" w:rsidR="004C3F22" w:rsidRDefault="004C3F22">
      <w:pPr>
        <w:rPr>
          <w:b/>
          <w:smallCaps/>
          <w:color w:val="000000"/>
        </w:rPr>
      </w:pPr>
    </w:p>
    <w:p w14:paraId="4B99056E" w14:textId="77777777" w:rsidR="004C3F22" w:rsidRDefault="004C3F22">
      <w:pPr>
        <w:rPr>
          <w:b/>
          <w:smallCaps/>
          <w:color w:val="000000"/>
        </w:rPr>
      </w:pPr>
    </w:p>
    <w:p w14:paraId="1299C43A" w14:textId="77777777" w:rsidR="004C3F22" w:rsidRDefault="004C3F22">
      <w:pPr>
        <w:rPr>
          <w:b/>
          <w:smallCaps/>
          <w:color w:val="000000"/>
        </w:rPr>
      </w:pPr>
    </w:p>
    <w:p w14:paraId="4DDBEF00" w14:textId="77777777" w:rsidR="004C3F22" w:rsidRDefault="004C3F22">
      <w:pPr>
        <w:rPr>
          <w:b/>
          <w:smallCaps/>
          <w:color w:val="000000"/>
        </w:rPr>
      </w:pPr>
    </w:p>
    <w:p w14:paraId="3461D779" w14:textId="77777777" w:rsidR="004C3F22" w:rsidRDefault="004C3F22">
      <w:pPr>
        <w:rPr>
          <w:b/>
          <w:smallCaps/>
          <w:color w:val="000000"/>
        </w:rPr>
      </w:pPr>
    </w:p>
    <w:p w14:paraId="3CF2D8B6" w14:textId="77777777" w:rsidR="004C3F22" w:rsidRDefault="004C3F22">
      <w:pPr>
        <w:rPr>
          <w:b/>
          <w:smallCaps/>
          <w:color w:val="000000"/>
        </w:rPr>
      </w:pPr>
    </w:p>
    <w:p w14:paraId="0FB78278" w14:textId="77777777" w:rsidR="004C3F22" w:rsidRDefault="004C3F22">
      <w:pPr>
        <w:rPr>
          <w:b/>
          <w:smallCaps/>
          <w:color w:val="000000"/>
        </w:rPr>
      </w:pPr>
    </w:p>
    <w:p w14:paraId="1FC39945" w14:textId="77777777" w:rsidR="004C3F22" w:rsidRDefault="004C3F22">
      <w:pPr>
        <w:rPr>
          <w:b/>
          <w:smallCaps/>
          <w:color w:val="000000"/>
        </w:rPr>
      </w:pPr>
    </w:p>
    <w:p w14:paraId="0562CB0E" w14:textId="77777777" w:rsidR="004C3F22" w:rsidRDefault="004C3F22">
      <w:pPr>
        <w:rPr>
          <w:b/>
          <w:smallCaps/>
          <w:color w:val="000000"/>
        </w:rPr>
      </w:pPr>
    </w:p>
    <w:p w14:paraId="34CE0A41" w14:textId="77777777" w:rsidR="004C3F22" w:rsidRDefault="004C3F22">
      <w:pPr>
        <w:rPr>
          <w:b/>
          <w:smallCaps/>
          <w:color w:val="000000"/>
        </w:rPr>
      </w:pPr>
    </w:p>
    <w:p w14:paraId="1974FE62" w14:textId="77777777" w:rsidR="004C3F22" w:rsidRDefault="009E06EB">
      <w:pPr>
        <w:pBdr>
          <w:top w:val="nil"/>
          <w:left w:val="nil"/>
          <w:bottom w:val="nil"/>
          <w:right w:val="nil"/>
          <w:between w:val="nil"/>
        </w:pBdr>
        <w:spacing w:after="0" w:line="240" w:lineRule="auto"/>
        <w:ind w:right="45"/>
        <w:rPr>
          <w:rFonts w:ascii="Quattrocento Sans" w:eastAsia="Quattrocento Sans" w:hAnsi="Quattrocento Sans" w:cs="Quattrocento Sans"/>
          <w:color w:val="000000"/>
          <w:sz w:val="18"/>
          <w:szCs w:val="18"/>
        </w:rPr>
      </w:pPr>
      <w:r>
        <w:rPr>
          <w:color w:val="000000"/>
        </w:rPr>
        <w:t xml:space="preserve">© </w:t>
      </w:r>
      <w:proofErr w:type="spellStart"/>
      <w:r>
        <w:rPr>
          <w:color w:val="000000"/>
        </w:rPr>
        <w:t>xxxxxxxxxxxx</w:t>
      </w:r>
      <w:proofErr w:type="spellEnd"/>
      <w:r>
        <w:rPr>
          <w:color w:val="000000"/>
        </w:rPr>
        <w:t> </w:t>
      </w:r>
    </w:p>
    <w:p w14:paraId="22AC1E10" w14:textId="77777777" w:rsidR="004C3F22" w:rsidRDefault="009E06EB">
      <w:pPr>
        <w:pBdr>
          <w:top w:val="nil"/>
          <w:left w:val="nil"/>
          <w:bottom w:val="nil"/>
          <w:right w:val="nil"/>
          <w:between w:val="nil"/>
        </w:pBdr>
        <w:spacing w:after="0" w:line="240" w:lineRule="auto"/>
        <w:ind w:right="45"/>
        <w:rPr>
          <w:rFonts w:ascii="Quattrocento Sans" w:eastAsia="Quattrocento Sans" w:hAnsi="Quattrocento Sans" w:cs="Quattrocento Sans"/>
          <w:color w:val="000000"/>
          <w:sz w:val="18"/>
          <w:szCs w:val="18"/>
        </w:rPr>
      </w:pPr>
      <w:r>
        <w:rPr>
          <w:color w:val="000000"/>
        </w:rPr>
        <w:t>Queda prohibida la reproducción parcial o total de esta obra en cualquier forma, medio o procedimiento sin permiso por escrito de los autores. </w:t>
      </w:r>
    </w:p>
    <w:p w14:paraId="6E7BEAA2" w14:textId="77777777" w:rsidR="004C3F22" w:rsidRDefault="009E06EB">
      <w:pPr>
        <w:pBdr>
          <w:top w:val="nil"/>
          <w:left w:val="nil"/>
          <w:bottom w:val="nil"/>
          <w:right w:val="nil"/>
          <w:between w:val="nil"/>
        </w:pBdr>
        <w:spacing w:after="0" w:line="240" w:lineRule="auto"/>
        <w:ind w:right="45"/>
        <w:rPr>
          <w:rFonts w:ascii="Quattrocento Sans" w:eastAsia="Quattrocento Sans" w:hAnsi="Quattrocento Sans" w:cs="Quattrocento Sans"/>
          <w:color w:val="000000"/>
          <w:sz w:val="18"/>
          <w:szCs w:val="18"/>
        </w:rPr>
      </w:pPr>
      <w:r>
        <w:rPr>
          <w:color w:val="000000"/>
        </w:rPr>
        <w:t> </w:t>
      </w:r>
    </w:p>
    <w:p w14:paraId="6323DB4B" w14:textId="77777777" w:rsidR="004C3F22" w:rsidRDefault="009E06EB">
      <w:pPr>
        <w:pBdr>
          <w:top w:val="nil"/>
          <w:left w:val="nil"/>
          <w:bottom w:val="nil"/>
          <w:right w:val="nil"/>
          <w:between w:val="nil"/>
        </w:pBdr>
        <w:spacing w:after="0" w:line="240" w:lineRule="auto"/>
        <w:ind w:right="45"/>
        <w:jc w:val="center"/>
        <w:rPr>
          <w:rFonts w:ascii="Quattrocento Sans" w:eastAsia="Quattrocento Sans" w:hAnsi="Quattrocento Sans" w:cs="Quattrocento Sans"/>
          <w:color w:val="000000"/>
          <w:sz w:val="18"/>
          <w:szCs w:val="18"/>
        </w:rPr>
      </w:pPr>
      <w:r>
        <w:rPr>
          <w:color w:val="000000"/>
        </w:rPr>
        <w:t>Santiago de Chile </w:t>
      </w:r>
    </w:p>
    <w:p w14:paraId="6CCE7186" w14:textId="77777777" w:rsidR="004C3F22" w:rsidRDefault="009E06EB">
      <w:pPr>
        <w:pBdr>
          <w:top w:val="nil"/>
          <w:left w:val="nil"/>
          <w:bottom w:val="nil"/>
          <w:right w:val="nil"/>
          <w:between w:val="nil"/>
        </w:pBdr>
        <w:spacing w:after="0" w:line="240" w:lineRule="auto"/>
        <w:ind w:right="45"/>
        <w:jc w:val="center"/>
        <w:rPr>
          <w:rFonts w:ascii="Quattrocento Sans" w:eastAsia="Quattrocento Sans" w:hAnsi="Quattrocento Sans" w:cs="Quattrocento Sans"/>
          <w:color w:val="000000"/>
          <w:sz w:val="18"/>
          <w:szCs w:val="18"/>
        </w:rPr>
      </w:pPr>
      <w:r>
        <w:rPr>
          <w:color w:val="000000"/>
        </w:rPr>
        <w:t>202</w:t>
      </w:r>
      <w:r>
        <w:t>5</w:t>
      </w:r>
      <w:r>
        <w:rPr>
          <w:color w:val="000000"/>
        </w:rPr>
        <w:t> </w:t>
      </w:r>
    </w:p>
    <w:p w14:paraId="62EBF3C5" w14:textId="77777777" w:rsidR="004C3F22" w:rsidRDefault="009E06EB">
      <w:pPr>
        <w:rPr>
          <w:b/>
          <w:smallCaps/>
          <w:color w:val="000000"/>
        </w:rPr>
      </w:pPr>
      <w:r>
        <w:br w:type="page"/>
      </w:r>
    </w:p>
    <w:p w14:paraId="79B262E5" w14:textId="77777777" w:rsidR="004C3F22" w:rsidRDefault="009E06EB">
      <w:pPr>
        <w:rPr>
          <w:b/>
        </w:rPr>
      </w:pPr>
      <w:r>
        <w:rPr>
          <w:b/>
        </w:rPr>
        <w:lastRenderedPageBreak/>
        <w:t>HOJA DE CALIFICACIÓN</w:t>
      </w:r>
    </w:p>
    <w:p w14:paraId="6D98A12B" w14:textId="77777777" w:rsidR="004C3F22" w:rsidRDefault="004C3F22"/>
    <w:p w14:paraId="416E80A2" w14:textId="77777777" w:rsidR="004C3F22" w:rsidRDefault="009E06EB">
      <w:r>
        <w:rPr>
          <w:color w:val="000000"/>
        </w:rPr>
        <w:t xml:space="preserve">En Santiago, el __ de ________ </w:t>
      </w:r>
      <w:proofErr w:type="spellStart"/>
      <w:r>
        <w:rPr>
          <w:color w:val="000000"/>
        </w:rPr>
        <w:t>de</w:t>
      </w:r>
      <w:proofErr w:type="spellEnd"/>
      <w:r>
        <w:rPr>
          <w:color w:val="000000"/>
        </w:rPr>
        <w:t xml:space="preserve"> 202</w:t>
      </w:r>
      <w:r>
        <w:t>5</w:t>
      </w:r>
      <w:r>
        <w:rPr>
          <w:color w:val="000000"/>
        </w:rPr>
        <w:t xml:space="preserve">, los abajo firmantes dejan constancia que el estudiante [NOMBRE] del Magíster en Data </w:t>
      </w:r>
      <w:proofErr w:type="spellStart"/>
      <w:r>
        <w:rPr>
          <w:color w:val="000000"/>
        </w:rPr>
        <w:t>Science</w:t>
      </w:r>
      <w:proofErr w:type="spellEnd"/>
      <w:r>
        <w:rPr>
          <w:color w:val="000000"/>
        </w:rPr>
        <w:t xml:space="preserve"> ha aprobado la tesis/proyecto para optar al Grado de Magíster en Data </w:t>
      </w:r>
      <w:proofErr w:type="spellStart"/>
      <w:r>
        <w:rPr>
          <w:color w:val="000000"/>
        </w:rPr>
        <w:t>Science</w:t>
      </w:r>
      <w:proofErr w:type="spellEnd"/>
      <w:r>
        <w:rPr>
          <w:color w:val="000000"/>
        </w:rPr>
        <w:t xml:space="preserve"> con una nota de _____</w:t>
      </w:r>
    </w:p>
    <w:p w14:paraId="2946DB82" w14:textId="77777777" w:rsidR="004C3F22" w:rsidRDefault="004C3F22"/>
    <w:p w14:paraId="5997CC1D" w14:textId="77777777" w:rsidR="004C3F22" w:rsidRDefault="004C3F22"/>
    <w:p w14:paraId="110FFD37" w14:textId="77777777" w:rsidR="004C3F22" w:rsidRDefault="004C3F22"/>
    <w:p w14:paraId="58302BBE" w14:textId="77777777" w:rsidR="004C3F22" w:rsidRDefault="009E06EB">
      <w:r>
        <w:t>____________________________</w:t>
      </w:r>
    </w:p>
    <w:p w14:paraId="1A2F1E69" w14:textId="77777777" w:rsidR="004C3F22" w:rsidRDefault="009E06EB">
      <w:r>
        <w:t>(Nombre y firma profesor evaluador)</w:t>
      </w:r>
    </w:p>
    <w:p w14:paraId="6B699379" w14:textId="77777777" w:rsidR="004C3F22" w:rsidRDefault="004C3F22"/>
    <w:p w14:paraId="3FE9F23F" w14:textId="77777777" w:rsidR="004C3F22" w:rsidRDefault="004C3F22"/>
    <w:p w14:paraId="469FA1A4" w14:textId="77777777" w:rsidR="004C3F22" w:rsidRDefault="009E06EB">
      <w:r>
        <w:t>____________________________</w:t>
      </w:r>
    </w:p>
    <w:p w14:paraId="120D99B6" w14:textId="77777777" w:rsidR="004C3F22" w:rsidRDefault="009E06EB">
      <w:r>
        <w:t>(Nombre y firma profesor evaluador)</w:t>
      </w:r>
    </w:p>
    <w:p w14:paraId="1F72F646" w14:textId="77777777" w:rsidR="004C3F22" w:rsidRDefault="004C3F22"/>
    <w:p w14:paraId="08CE6F91" w14:textId="77777777" w:rsidR="004C3F22" w:rsidRDefault="009E06EB">
      <w:r>
        <w:br w:type="page"/>
      </w:r>
    </w:p>
    <w:p w14:paraId="4E651392" w14:textId="7494B4B1" w:rsidR="004C3F22" w:rsidRDefault="29543662">
      <w:pPr>
        <w:pStyle w:val="Heading1"/>
      </w:pPr>
      <w:bookmarkStart w:id="2" w:name="_Toc1993506912"/>
      <w:bookmarkStart w:id="3" w:name="_Toc891437785"/>
      <w:bookmarkStart w:id="4" w:name="_Toc806922051"/>
      <w:bookmarkStart w:id="5" w:name="_Toc1727094597"/>
      <w:bookmarkStart w:id="6" w:name="_Toc299759874"/>
      <w:bookmarkStart w:id="7" w:name="_Toc43889949"/>
      <w:bookmarkStart w:id="8" w:name="_Toc1567051367"/>
      <w:bookmarkStart w:id="9" w:name="_Toc631679174"/>
      <w:bookmarkStart w:id="10" w:name="_Toc2123115701"/>
      <w:r>
        <w:lastRenderedPageBreak/>
        <w:t>DEDICATORIA</w:t>
      </w:r>
      <w:bookmarkEnd w:id="2"/>
      <w:bookmarkEnd w:id="3"/>
      <w:bookmarkEnd w:id="4"/>
      <w:bookmarkEnd w:id="5"/>
      <w:bookmarkEnd w:id="6"/>
      <w:bookmarkEnd w:id="7"/>
      <w:bookmarkEnd w:id="8"/>
      <w:bookmarkEnd w:id="9"/>
      <w:bookmarkEnd w:id="10"/>
    </w:p>
    <w:p w14:paraId="3F60091D" w14:textId="77777777" w:rsidR="004C3F22" w:rsidRDefault="009E06EB">
      <w:r>
        <w:t>Dedico este proyecto con profundo amor y gratitud a mi esposa Andrea, compañera de vida, quien con paciencia infinita, cariño constante y apoyo incondicional fue mi refugio y fortaleza en cada paso dado durante estos años de esfuerzo.</w:t>
      </w:r>
    </w:p>
    <w:p w14:paraId="263074D2" w14:textId="77777777" w:rsidR="004C3F22" w:rsidRDefault="009E06EB">
      <w:r>
        <w:t>A mis queridos hijos, Nicolás y Martina, fuente inagotable de alegría, ternura y energía; gracias por ser la luz que ilumina mi camino y la razón más profunda detrás de cada meta que emprendo.</w:t>
      </w:r>
    </w:p>
    <w:p w14:paraId="61CDCEAD" w14:textId="77777777" w:rsidR="004C3F22" w:rsidRDefault="004C3F22"/>
    <w:p w14:paraId="2F6FA0E9" w14:textId="77777777" w:rsidR="004C3F22" w:rsidRDefault="009E06EB">
      <w:r>
        <w:t>A ustedes, con todo mi corazón.</w:t>
      </w:r>
    </w:p>
    <w:p w14:paraId="6BB9E253" w14:textId="77777777" w:rsidR="004C3F22" w:rsidRDefault="004C3F22"/>
    <w:p w14:paraId="23DE523C" w14:textId="77777777" w:rsidR="004C3F22" w:rsidRDefault="009E06EB">
      <w:pPr>
        <w:spacing w:line="259" w:lineRule="auto"/>
      </w:pPr>
      <w:r>
        <w:br w:type="page"/>
      </w:r>
    </w:p>
    <w:p w14:paraId="46C24AD5" w14:textId="40CDE7C5" w:rsidR="004C3F22" w:rsidRDefault="29543662">
      <w:pPr>
        <w:pStyle w:val="Heading1"/>
      </w:pPr>
      <w:bookmarkStart w:id="11" w:name="_Toc1888567778"/>
      <w:bookmarkStart w:id="12" w:name="_Toc1284261307"/>
      <w:bookmarkStart w:id="13" w:name="_Toc723983312"/>
      <w:bookmarkStart w:id="14" w:name="_Toc2086622705"/>
      <w:bookmarkStart w:id="15" w:name="_Toc703497765"/>
      <w:bookmarkStart w:id="16" w:name="_Toc1526671846"/>
      <w:bookmarkStart w:id="17" w:name="_Toc1324597287"/>
      <w:bookmarkStart w:id="18" w:name="_Toc1361621687"/>
      <w:bookmarkStart w:id="19" w:name="_Toc1442418460"/>
      <w:r>
        <w:lastRenderedPageBreak/>
        <w:t>AGRADECIMIENTOS</w:t>
      </w:r>
      <w:bookmarkEnd w:id="11"/>
      <w:bookmarkEnd w:id="12"/>
      <w:bookmarkEnd w:id="13"/>
      <w:bookmarkEnd w:id="14"/>
      <w:bookmarkEnd w:id="15"/>
      <w:bookmarkEnd w:id="16"/>
      <w:bookmarkEnd w:id="17"/>
      <w:bookmarkEnd w:id="18"/>
      <w:bookmarkEnd w:id="19"/>
    </w:p>
    <w:p w14:paraId="7C706BDB" w14:textId="77777777" w:rsidR="004C3F22" w:rsidRDefault="009E06EB">
      <w:r>
        <w:t>Quiero expresar mi más profunda gratitud a mis padres, Luis y Carmen, quienes con sabiduría y amor formaron los cimientos que sostienen cada uno de mis logros. A mi padre, Luis, quien con su ejemplo me enseñó desde niño que el deseo de triunfar es la mitad de la victoria; y a mi madre, Carmen, quien me mostró con ternura infinita lo que realmente significa el amor incondicional.</w:t>
      </w:r>
    </w:p>
    <w:p w14:paraId="6325FB1E" w14:textId="77777777" w:rsidR="004C3F22" w:rsidRDefault="009E06EB">
      <w:r>
        <w:t>Agradezco de corazón a mis hermanos, Ronny y Michael, cuyo apoyo constante, complicidad y cercanía fueron siempre un estímulo invaluable durante estos años de esfuerzo y estudio.</w:t>
      </w:r>
    </w:p>
    <w:p w14:paraId="621B30CC" w14:textId="77777777" w:rsidR="004C3F22" w:rsidRDefault="009E06EB">
      <w:r>
        <w:t>Mi especial reconocimiento a mi profesor guía, Matías Greco, por su dedicación generosa, valiosas sugerencias y paciencia durante todo el proceso de elaboración de este proyecto, permitiéndome convertir los desafíos en oportunidades de crecimiento.</w:t>
      </w:r>
    </w:p>
    <w:p w14:paraId="576C2076" w14:textId="3E6B0699" w:rsidR="004C3F22" w:rsidRDefault="009E06EB">
      <w:r>
        <w:t>Finalmente, agradezco a mis compañeros de grupo, Jesús</w:t>
      </w:r>
      <w:r w:rsidR="6B9F8600">
        <w:t xml:space="preserve"> Rodríguez</w:t>
      </w:r>
      <w:r>
        <w:t xml:space="preserve"> y Gonzalo</w:t>
      </w:r>
      <w:r w:rsidR="64E3AE22">
        <w:t xml:space="preserve"> </w:t>
      </w:r>
      <w:proofErr w:type="spellStart"/>
      <w:r w:rsidR="64E3AE22">
        <w:t>Cayunao</w:t>
      </w:r>
      <w:proofErr w:type="spellEnd"/>
      <w:r>
        <w:t>, por haber sido excelentes compañeros en este camino compartido, por la calidad de sus aportes y, sobre todo, por hacer de esta experiencia académica una etapa llena de aprendizajes, compañerismo y colaboración genuina.</w:t>
      </w:r>
    </w:p>
    <w:p w14:paraId="07547A01" w14:textId="6FAC011F" w:rsidR="004C3F22" w:rsidRPr="007E1A6D" w:rsidRDefault="009E06EB">
      <w:pPr>
        <w:sectPr>
          <w:type w:val="nextPage"/>
        </w:sectPr>
      </w:pPr>
      <w:r>
        <w:t>A todos ustedes, gracias por haber estado presentes en este importante logro de mi vida.</w:t>
      </w:r>
    </w:p>
    <w:sectPr w:rsidR="004C3F22" w:rsidRPr="007E1A6D">
      <w:headerReference w:type="default" r:id="rId9"/>
      <w:footerReference w:type="default" r:id="rId10"/>
      <w:pgSz w:w="12240" w:h="15840"/>
      <w:pgMar w:top="1560" w:right="1418" w:bottom="1418" w:left="2268" w:header="0" w:footer="709" w:gutter="0"/>
      <w:cols w:space="720"/>
    </w:sectPr>
    <w:p>
      <w:pPr>
        <w:pStyle w:val="Title"/>
      </w:pPr>
      <w:r>
        <w:t xml:space="preserve">Resumen</w:t>
      </w:r>
    </w:p>
    <w:bookmarkStart w:id="9" w:name="resumen"/>
    <w:p>
      <w:pPr>
        <w:pStyle w:val="Heading1"/>
      </w:pPr>
      <w:r>
        <w:t xml:space="preserve">RESUMEN</w:t>
      </w:r>
    </w:p>
    <w:p>
      <w:pPr>
        <w:pStyle w:val="FirstParagraph"/>
      </w:pPr>
      <w:r>
        <w:t xml:space="preserve">El objetivo de este trabajo es diseñar, implementar y evaluar un sistema de recuperación semántica de información que asista en la resolución de tickets de soporte técnico relacionados con Microsoft Azure, utilizando documentación oficial y preguntas frecuentes como fuente de conocimiento. Se desarrolló una arquitectura en tres bloques principales: extracción automatizada de datos públicos desde Microsoft Learn y Microsoft Q&amp;A mediante web scraping; generación de embeddings utilizando modelos preentrenados (all-MiniLM-L6-v2, multi-qa-mpnet-base-dot-v1, E5-large) y embeddings de OpenAI; y almacenamiento en ChromaDB para consulta semántica.</w:t>
      </w:r>
    </w:p>
    <w:p>
      <w:pPr>
        <w:pStyle w:val="BodyText"/>
      </w:pPr>
      <w:r>
        <w:t xml:space="preserve">El corpus desarrollado comprende 187,031 chunks de documentación segmentada desde 62,417 documentos únicos de Microsoft Learn, y 13,436 preguntas de Microsoft Q&amp;A validadas como ground truth. El análisis exploratorio reveló contenido técnico sustancial con 872.3 tokens promedio por chunk y distribución balanceada entre categorías de Azure.</w:t>
      </w:r>
    </w:p>
    <w:p>
      <w:pPr>
        <w:pStyle w:val="BodyText"/>
      </w:pPr>
      <w:r>
        <w:t xml:space="preserve">La evaluación se realizó mediante métricas estándar de recuperación de información: Precision@5, Recall@5, MRR@5, nDCG y F1-score. La mejor configuración de modelos open-source (MiniLM con title+summary+content) alcanza Precision@5 de 0.0256, Recall@5 de 0.0833 y MRR@5 de 0.0573. Los embeddings de OpenAI obtienen métricas superiores: Precision@5 de 0.034, Recall@5 de 0.112 y MRR@5 de 0.072, demostrando mayor capacidad de recuperación.</w:t>
      </w:r>
    </w:p>
    <w:p>
      <w:pPr>
        <w:pStyle w:val="BodyText"/>
      </w:pPr>
      <w:r>
        <w:t xml:space="preserve">Este proyecto establece tres contribuciones principales: desarrollo del primer corpus especializado en documentación Azure para investigación académica; provisión de benchmarks reproducibles para evaluación de modelos de embeddings en dominios técnicos; y demostración empírica de la viabilidad de sistemas de recuperación semántica para asistencia en soporte técnico. Las métricas establecen una línea base para investigación futura, identificando oportunidades de mejora mediante fine-tuning, hybrid search y reranking avanzado.</w:t>
      </w:r>
    </w:p>
    <w:p>
      <w:pPr>
        <w:pStyle w:val="BodyText"/>
        <w:sectPr>
          <w:type w:val="nextPage"/>
        </w:sectPr>
      </w:pPr>
      <w:r>
        <w:rPr>
          <w:b/>
          <w:bCs/>
        </w:rPr>
        <w:t xml:space="preserve">Palabras clave:</w:t>
      </w:r>
      <w:r>
        <w:t xml:space="preserve"> </w:t>
      </w:r>
      <w:r>
        <w:t xml:space="preserve">Recuperación de Información, Embeddings, RAG, Soporte Técnico, Azure, ChromaDB, Semantic Search</w:t>
      </w:r>
    </w:p>
    <w:bookmarkEnd w:id="9"/>
    <w:sectPr>
      <w:footnotePr>
        <w:numRestart w:val="eachSect"/>
      </w:footnotePr>
    </w:sectPr>
    <w:p>
      <w:pPr>
        <w:pStyle w:val="Title"/>
      </w:pPr>
      <w:r>
        <w:t xml:space="preserve">Abstract</w:t>
      </w:r>
    </w:p>
    <w:bookmarkStart w:id="9" w:name="abstract"/>
    <w:p>
      <w:pPr>
        <w:pStyle w:val="Heading1"/>
      </w:pPr>
      <w:r>
        <w:t xml:space="preserve">ABSTRACT</w:t>
      </w:r>
    </w:p>
    <w:p>
      <w:pPr>
        <w:pStyle w:val="FirstParagraph"/>
      </w:pPr>
      <w:r>
        <w:t xml:space="preserve">The objective of this work is to design, implement, and evaluate a semantic information retrieval system to assist in resolving technical support tickets related to Microsoft Azure, using official documentation and frequently asked questions as knowledge sources. A three-block architecture was developed: automated extraction of public data from Microsoft Learn and Microsoft Q&amp;A through web scraping; embedding generation using pretrained models (all-MiniLM-L6-v2, multi-qa-mpnet-base-dot-v1, E5-large) and OpenAI embeddings; and storage in ChromaDB for semantic querying.</w:t>
      </w:r>
    </w:p>
    <w:p>
      <w:pPr>
        <w:pStyle w:val="BodyText"/>
      </w:pPr>
      <w:r>
        <w:t xml:space="preserve">The developed corpus comprises 187,031 documentation chunks segmented from 62,417 unique Microsoft Learn documents, and 13,436 Microsoft Q&amp;A questions validated as ground truth. Exploratory analysis revealed substantial technical content with 872.3 average tokens per chunk and balanced distribution across Azure categories.</w:t>
      </w:r>
    </w:p>
    <w:p>
      <w:pPr>
        <w:pStyle w:val="BodyText"/>
      </w:pPr>
      <w:r>
        <w:t xml:space="preserve">Evaluation was performed using standard information retrieval metrics: Precision@5, Recall@5, MRR@5, nDCG, and F1-score. The best open-source model configuration (MiniLM with title+summary+content) achieves Precision@5 of 0.0256, Recall@5 of 0.0833, and MRR@5 of 0.0573. OpenAI embeddings obtain superior metrics: Precision@5 of 0.034, Recall@5 of 0.112, and MRR@5 of 0.072, demonstrating greater retrieval capacity.</w:t>
      </w:r>
    </w:p>
    <w:p>
      <w:pPr>
        <w:pStyle w:val="BodyText"/>
      </w:pPr>
      <w:r>
        <w:t xml:space="preserve">This project establishes three main contributions: development of the first specialized corpus in Azure documentation for academic research; provision of reproducible benchmarks for evaluating embedding models in technical domains; and empirical demonstration of the viability of semantic retrieval systems for technical support assistance. The obtained metrics establish a baseline for future research, identifying improvement opportunities through fine-tuning, hybrid search, and advanced reranking.</w:t>
      </w:r>
    </w:p>
    <w:p>
      <w:pPr>
        <w:pStyle w:val="BodyText"/>
        <w:sectPr>
          <w:type w:val="nextPage"/>
        </w:sectPr>
      </w:pPr>
      <w:r>
        <w:rPr>
          <w:b/>
          <w:bCs/>
        </w:rPr>
        <w:t xml:space="preserve">Keywords:</w:t>
      </w:r>
      <w:r>
        <w:t xml:space="preserve"> </w:t>
      </w:r>
      <w:r>
        <w:t xml:space="preserve">Information Retrieval, Embeddings, RAG, Technical Support, Azure, ChromaDB, Semantic Search</w:t>
      </w:r>
    </w:p>
    <w:bookmarkEnd w:id="9"/>
    <w:sectPr>
      <w:footnotePr>
        <w:numRestart w:val="eachSect"/>
      </w:footnotePr>
    </w:sectPr>
    <w:p>
      <w:pPr>
        <w:pStyle w:val="Title"/>
      </w:pPr>
      <w:r>
        <w:t xml:space="preserve">Capítulo 1: Introducción</w:t>
      </w:r>
    </w:p>
    <w:bookmarkStart w:id="27" w:name="introducción-y-fundamentos-del-proyecto"/>
    <w:p>
      <w:pPr>
        <w:pStyle w:val="Heading1"/>
      </w:pPr>
      <w:r>
        <w:t xml:space="preserve">1. INTRODUCCIÓN Y FUNDAMENTOS DEL PROYECTO</w:t>
      </w:r>
    </w:p>
    <w:bookmarkStart w:id="12" w:name="formulación-del-problema"/>
    <w:p>
      <w:pPr>
        <w:pStyle w:val="Heading2"/>
      </w:pPr>
      <w:r>
        <w:t xml:space="preserve">1.1 Formulación del Problema</w:t>
      </w:r>
    </w:p>
    <w:p>
      <w:pPr>
        <w:pStyle w:val="FirstParagraph"/>
      </w:pPr>
      <w:r>
        <w:t xml:space="preserve">Los sistemas de soporte técnico para productos tecnológicos complejos enfrentan desafíos fundamentales en la gestión del conocimiento especializado. Esta investigación aborda el problema de recuperación semántica de información técnica utilizando Microsoft Azure como caso de estudio representativo de plataformas enterprise modernas.</w:t>
      </w:r>
    </w:p>
    <w:bookmarkStart w:id="9" w:name="X44c1f9186e9ff0d2aa6aee9b694b72de912c6ad"/>
    <w:p>
      <w:pPr>
        <w:pStyle w:val="Heading3"/>
      </w:pPr>
      <w:r>
        <w:t xml:space="preserve">1.1.1 El conocimiento existe, pero no se encuentra</w:t>
      </w:r>
    </w:p>
    <w:p>
      <w:pPr>
        <w:pStyle w:val="FirstParagraph"/>
      </w:pPr>
      <w:r>
        <w:t xml:space="preserve">La documentación técnica oficial constituye la fuente primaria de información para resolver consultas de soporte. Sin embargo, la recuperación efectiva de esta información presenta dificultades inherentes a la complejidad y especialización del dominio. Para emular este escenario genérico, se construyó un corpus completo de documentación técnica basado en Microsoft Azure, representativo de las características presentes en otros productos tecnológicos enterprise: alta especialización terminológica, arquitecturas multinivel, y documentación distribuida en múltiples formatos y niveles de abstracción.</w:t>
      </w:r>
    </w:p>
    <w:p>
      <w:pPr>
        <w:pStyle w:val="BodyText"/>
      </w:pPr>
      <w:r>
        <w:t xml:space="preserve">La brecha entre disponibilidad y accesibilidad del conocimiento motiva la necesidad de sistemas de recuperación semántica que superen las limitaciones de la búsqueda léxica tradicional.</w:t>
      </w:r>
    </w:p>
    <w:bookmarkEnd w:id="9"/>
    <w:bookmarkStart w:id="10" w:name="X433c003704ba71a9b27c446638bd446f3ae6852"/>
    <w:p>
      <w:pPr>
        <w:pStyle w:val="Heading3"/>
      </w:pPr>
      <w:r>
        <w:t xml:space="preserve">1.1.2 Patrones recurrentes en consultas de soporte técnico</w:t>
      </w:r>
    </w:p>
    <w:p>
      <w:pPr>
        <w:pStyle w:val="FirstParagraph"/>
      </w:pPr>
      <w:r>
        <w:t xml:space="preserve">El análisis de preguntas de soporte técnico revela patrones característicos: un subconjunto relativamente pequeño de documentos responde a la mayoría de consultas frecuentes, mientras que casos específicos requieren documentación especializada que raramente se consulta de forma proactiva. Esta distribución irregular del conocimiento dificulta la localización de información relevante, particularmente cuando usuarios formulan consultas usando terminología que no coincide exactamente con la documentación oficial.</w:t>
      </w:r>
    </w:p>
    <w:p>
      <w:pPr>
        <w:pStyle w:val="BodyText"/>
      </w:pPr>
      <w:r>
        <w:t xml:space="preserve">Para investigar este fenómeno, se recolectó un dataset de consultas reales de usuarios en foros técnicos especializados, permitiendo caracterizar los patrones de correspondencia entre preguntas naturales y documentación técnica formal. Este dataset proporciona ground truth verificable para evaluación sistemática de técnicas de recuperación.</w:t>
      </w:r>
    </w:p>
    <w:bookmarkEnd w:id="10"/>
    <w:bookmarkStart w:id="11" w:name="X82346226b01bb8a81e393df889907209ea5301a"/>
    <w:p>
      <w:pPr>
        <w:pStyle w:val="Heading3"/>
      </w:pPr>
      <w:r>
        <w:t xml:space="preserve">1.1.3 Búsqueda léxica versus recuperación semántica</w:t>
      </w:r>
    </w:p>
    <w:p>
      <w:pPr>
        <w:pStyle w:val="FirstParagraph"/>
      </w:pPr>
      <w:r>
        <w:t xml:space="preserve">Los sistemas de búsqueda tradicionales basados en coincidencia de palabras clave presentan limitaciones significativas en dominios técnicos especializados. La terminología técnica admite múltiples formas de expresión (sinónimos, acrónimos, variantes regionales), y las consultas en lenguaje natural raramente replican la estructura formal de la documentación oficial.</w:t>
      </w:r>
    </w:p>
    <w:p>
      <w:pPr>
        <w:pStyle w:val="BodyText"/>
      </w:pPr>
      <w:r>
        <w:t xml:space="preserve">Esta investigación propone desarrollar y evaluar un sistema de recuperación semántica basado en representaciones vectoriales densas (embeddings) que capture similitud conceptual más allá de coincidencia léxica superficial. El sistema integra técnicas de Retrieval-Augmented Generation (RAG) para vincular automáticamente consultas con documentación relevante mediante comprensión semántica del contenido técnico.</w:t>
      </w:r>
    </w:p>
    <w:bookmarkEnd w:id="11"/>
    <w:bookmarkEnd w:id="12"/>
    <w:bookmarkStart w:id="15" w:name="alcances"/>
    <w:p>
      <w:pPr>
        <w:pStyle w:val="Heading2"/>
      </w:pPr>
      <w:r>
        <w:t xml:space="preserve">1.2 Alcances</w:t>
      </w:r>
    </w:p>
    <w:bookmarkStart w:id="13" w:name="alcance-temático"/>
    <w:p>
      <w:pPr>
        <w:pStyle w:val="Heading3"/>
      </w:pPr>
      <w:r>
        <w:t xml:space="preserve">1.2.1 Alcance Temático</w:t>
      </w:r>
    </w:p>
    <w:p>
      <w:pPr>
        <w:pStyle w:val="FirstParagraph"/>
      </w:pPr>
      <w:r>
        <w:t xml:space="preserve">El trabajo abarca el diseño, implementación y evaluación de un sistema RAG (Retrieval-Augmented Generation) completo aplicado a documentación técnica. El sistema implementa comparación sistemática de cuatro modelos de embeddings (Ada, MPNet, MiniLM, E5-Large), desarrolla arquitecturas de búsqueda híbrida que combinan recuperación vectorial con reranking semántico, y evalúa el rendimiento mediante métricas específicas de recuperación de información en etapas pre y post reranking.</w:t>
      </w:r>
    </w:p>
    <w:bookmarkEnd w:id="13"/>
    <w:bookmarkStart w:id="14" w:name="alcance-temporal"/>
    <w:p>
      <w:pPr>
        <w:pStyle w:val="Heading3"/>
      </w:pPr>
      <w:r>
        <w:t xml:space="preserve">1.2.2 Alcance Temporal</w:t>
      </w:r>
    </w:p>
    <w:p>
      <w:pPr>
        <w:pStyle w:val="FirstParagraph"/>
      </w:pPr>
      <w:r>
        <w:t xml:space="preserve">El desarrollo se ejecutó durante el período académico 2024-2025. La recolección de datos establece un corpus estático del conocimiento disponible en Microsoft Learn y Microsoft Q&amp;A, permitiendo una evaluación consistente y reproducible sin variaciones temporales.</w:t>
      </w:r>
    </w:p>
    <w:bookmarkEnd w:id="14"/>
    <w:bookmarkEnd w:id="15"/>
    <w:bookmarkStart w:id="19" w:name="delimitaciones"/>
    <w:p>
      <w:pPr>
        <w:pStyle w:val="Heading2"/>
      </w:pPr>
      <w:r>
        <w:t xml:space="preserve">1.3 Delimitaciones</w:t>
      </w:r>
    </w:p>
    <w:bookmarkStart w:id="16" w:name="delimitación-geográfica"/>
    <w:p>
      <w:pPr>
        <w:pStyle w:val="Heading3"/>
      </w:pPr>
      <w:r>
        <w:t xml:space="preserve">1.3.1 Delimitación Geográfica</w:t>
      </w:r>
    </w:p>
    <w:p>
      <w:pPr>
        <w:pStyle w:val="FirstParagraph"/>
      </w:pPr>
      <w:r>
        <w:t xml:space="preserve">Aunque el sistema está diseñado para operar sin restricciones geográficas, la implementación se enfoca exclusivamente en documentación y consultas en idioma inglés. Los datos provienen de fuentes públicas internacionales (Microsoft Learn y Microsoft Q&amp;A), pero el procesamiento lingüístico se optimiza para terminología técnica en inglés.</w:t>
      </w:r>
    </w:p>
    <w:bookmarkEnd w:id="16"/>
    <w:bookmarkStart w:id="17" w:name="delimitación-de-dominio"/>
    <w:p>
      <w:pPr>
        <w:pStyle w:val="Heading3"/>
      </w:pPr>
      <w:r>
        <w:t xml:space="preserve">1.3.2 Delimitación de Dominio</w:t>
      </w:r>
    </w:p>
    <w:p>
      <w:pPr>
        <w:pStyle w:val="FirstParagraph"/>
      </w:pPr>
      <w:r>
        <w:t xml:space="preserve">La investigación se delimita al ecosistema de Microsoft Azure, excluyendo otros productos de Microsoft o plataformas cloud competidoras. Esta delimitación permite especialización profunda en la terminología, arquitectura y patrones de consulta específicos del dominio Azure.</w:t>
      </w:r>
    </w:p>
    <w:bookmarkEnd w:id="17"/>
    <w:bookmarkStart w:id="18" w:name="delimitación-funcional"/>
    <w:p>
      <w:pPr>
        <w:pStyle w:val="Heading3"/>
      </w:pPr>
      <w:r>
        <w:t xml:space="preserve">1.3.3 Delimitación Funcional</w:t>
      </w:r>
    </w:p>
    <w:p>
      <w:pPr>
        <w:pStyle w:val="FirstParagraph"/>
      </w:pPr>
      <w:r>
        <w:t xml:space="preserve">El proyecto se centra en la evaluación de técnicas de recuperación de información mediante métricas específicas (Precision@k, Recall@k, MRR, NDCG) en etapas pre y post reranking, más que en la implementación de un sistema de producción completo.</w:t>
      </w:r>
    </w:p>
    <w:bookmarkEnd w:id="18"/>
    <w:bookmarkEnd w:id="19"/>
    <w:bookmarkStart w:id="23" w:name="limitaciones"/>
    <w:p>
      <w:pPr>
        <w:pStyle w:val="Heading2"/>
      </w:pPr>
      <w:r>
        <w:t xml:space="preserve">1.4 Limitaciones</w:t>
      </w:r>
    </w:p>
    <w:bookmarkStart w:id="20" w:name="limitaciones-de-datos"/>
    <w:p>
      <w:pPr>
        <w:pStyle w:val="Heading3"/>
      </w:pPr>
      <w:r>
        <w:t xml:space="preserve">1.4.1 Limitaciones de Datos</w:t>
      </w:r>
    </w:p>
    <w:p>
      <w:pPr>
        <w:pStyle w:val="FirstParagraph"/>
      </w:pPr>
      <w:r>
        <w:t xml:space="preserve">Se utilizaron exclusivamente datos públicos de foros técnicos especializados, sin acceso a tickets corporativos internos. El dataset de evaluación comprende un subconjunto de preguntas con enlaces validados a documentación oficial que sirven como ground truth verificable, lo cual representa un escenario de evaluación más estricto que casos reales donde múltiples documentos pueden ser igualmente relevantes.</w:t>
      </w:r>
    </w:p>
    <w:bookmarkEnd w:id="20"/>
    <w:bookmarkStart w:id="21" w:name="limitaciones-técnicas"/>
    <w:p>
      <w:pPr>
        <w:pStyle w:val="Heading3"/>
      </w:pPr>
      <w:r>
        <w:t xml:space="preserve">1.4.2 Limitaciones Técnicas</w:t>
      </w:r>
    </w:p>
    <w:p>
      <w:pPr>
        <w:pStyle w:val="FirstParagraph"/>
      </w:pPr>
      <w:r>
        <w:t xml:space="preserve">El procesamiento se limita a contenido textual, excluyendo elementos multimedia (imágenes, diagramas, videos) presentes en la documentación técnica moderna. Los modelos de embeddings tienen restricciones de contexto que requieren segmentación de documentos extensos, potencialmente perdiendo información contextual al dividir el contenido.</w:t>
      </w:r>
    </w:p>
    <w:bookmarkEnd w:id="21"/>
    <w:bookmarkStart w:id="22" w:name="limitaciones-de-evaluación"/>
    <w:p>
      <w:pPr>
        <w:pStyle w:val="Heading3"/>
      </w:pPr>
      <w:r>
        <w:t xml:space="preserve">1.4.3 Limitaciones de Evaluación</w:t>
      </w:r>
    </w:p>
    <w:p>
      <w:pPr>
        <w:pStyle w:val="FirstParagraph"/>
      </w:pPr>
      <w:r>
        <w:t xml:space="preserve">La validación se basa en enlaces explícitos entre preguntas y documentos en respuestas validadas por la comunidad. Este criterio, aunque objetivo y reproducible, puede subestimar la relevancia de documentos alternativos igualmente válidos que no fueron citados en la respuesta aceptada.</w:t>
      </w:r>
    </w:p>
    <w:bookmarkEnd w:id="22"/>
    <w:bookmarkEnd w:id="23"/>
    <w:bookmarkStart w:id="26" w:name="objetivos"/>
    <w:p>
      <w:pPr>
        <w:pStyle w:val="Heading2"/>
      </w:pPr>
      <w:r>
        <w:t xml:space="preserve">1.5 Objetivos</w:t>
      </w:r>
    </w:p>
    <w:bookmarkStart w:id="24" w:name="objetivo-general"/>
    <w:p>
      <w:pPr>
        <w:pStyle w:val="Heading3"/>
      </w:pPr>
      <w:r>
        <w:t xml:space="preserve">1.5.1 Objetivo General</w:t>
      </w:r>
    </w:p>
    <w:p>
      <w:pPr>
        <w:pStyle w:val="FirstParagraph"/>
      </w:pPr>
      <w:r>
        <w:t xml:space="preserve">Desarrollar y evaluar un sistema de recuperación semántica de información basado en técnicas de procesamiento de lenguaje natural, utilizando documentación técnica de Microsoft Azure como caso de estudio. El objetivo es medir y comparar la efectividad de diferentes modelos de embeddings y arquitecturas de recuperación en la identificación de documentos relevantes para consultas técnicas especializadas.</w:t>
      </w:r>
    </w:p>
    <w:bookmarkEnd w:id="24"/>
    <w:bookmarkStart w:id="25" w:name="objetivos-específicos"/>
    <w:p>
      <w:pPr>
        <w:pStyle w:val="Heading3"/>
      </w:pPr>
      <w:r>
        <w:t xml:space="preserve">1.5.2 Objetivos Específicos</w:t>
      </w:r>
    </w:p>
    <w:p>
      <w:pPr>
        <w:numPr>
          <w:ilvl w:val="0"/>
          <w:numId w:val="1001"/>
        </w:numPr>
      </w:pPr>
      <w:r>
        <w:rPr>
          <w:b/>
          <w:bCs/>
        </w:rPr>
        <w:t xml:space="preserve">Implementar y comparar múltiples arquitecturas de embeddings</w:t>
      </w:r>
      <w:r>
        <w:t xml:space="preserve">, evaluando modelos de código abierto (MiniLM, MPNet, E5-Large) y propietarios (OpenAI Ada) para determinar la representación vectorial óptima del contenido técnico especializado de Azure.</w:t>
      </w:r>
    </w:p>
    <w:p>
      <w:pPr>
        <w:numPr>
          <w:ilvl w:val="0"/>
          <w:numId w:val="1001"/>
        </w:numPr>
      </w:pPr>
      <w:r>
        <w:rPr>
          <w:b/>
          <w:bCs/>
        </w:rPr>
        <w:t xml:space="preserve">Diseñar un sistema de almacenamiento y recuperación vectorial</w:t>
      </w:r>
      <w:r>
        <w:t xml:space="preserve"> </w:t>
      </w:r>
      <w:r>
        <w:t xml:space="preserve">utilizando ChromaDB como base de datos especializada, configurando índices optimizados para búsquedas de similitud semántica a escala con más de 800,000 vectores de alta dimensionalidad distribuidos en 8 colecciones especializadas.</w:t>
      </w:r>
    </w:p>
    <w:p>
      <w:pPr>
        <w:numPr>
          <w:ilvl w:val="0"/>
          <w:numId w:val="1001"/>
        </w:numPr>
      </w:pPr>
      <w:r>
        <w:rPr>
          <w:b/>
          <w:bCs/>
        </w:rPr>
        <w:t xml:space="preserve">Desarrollar mecanismos avanzados de reranking</w:t>
      </w:r>
      <w:r>
        <w:t xml:space="preserve"> </w:t>
      </w:r>
      <w:r>
        <w:t xml:space="preserve">implementando CrossEncoders especializados y técnicas de normalización (Min-Max) para mejorar la precisión en el ordenamiento final de documentos recuperados, optimizando específicamente para consultas técnicas complejas.</w:t>
      </w:r>
    </w:p>
    <w:p>
      <w:pPr>
        <w:numPr>
          <w:ilvl w:val="0"/>
          <w:numId w:val="1001"/>
        </w:numPr>
      </w:pPr>
      <w:r>
        <w:rPr>
          <w:b/>
          <w:bCs/>
        </w:rPr>
        <w:t xml:space="preserve">Evaluar sistemáticamente el rendimiento del sistema</w:t>
      </w:r>
      <w:r>
        <w:t xml:space="preserve"> </w:t>
      </w:r>
      <w:r>
        <w:t xml:space="preserve">mediante un framework de métricas que incluye medidas tradicionales de recuperación (Precision@k, Recall@k, MRR, NDCG) en etapas pre y post reranking, métricas específicas para sistemas RAG (Answer Relevancy, Context Precision, Faithfulness), y validación semántica utilizando RAGAS y BERTScore.</w:t>
      </w:r>
    </w:p>
    <w:p>
      <w:pPr>
        <w:numPr>
          <w:ilvl w:val="0"/>
          <w:numId w:val="1001"/>
        </w:numPr>
        <w:sectPr>
          <w:type w:val="nextPage"/>
        </w:sectPr>
      </w:pPr>
      <w:r>
        <w:rPr>
          <w:b/>
          <w:bCs/>
        </w:rPr>
        <w:t xml:space="preserve">Establecer una metodología reproducible y extensible</w:t>
      </w:r>
      <w:r>
        <w:t xml:space="preserve">, documentando el proceso de implementación, creando pipelines automatizados de evaluación con métricas verificables, y desarrollando herramientas auxiliares (incluyendo una interfaz Streamlit) que faciliten la ejecución de pruebas y la visualización de resultados para futuras investigaciones.</w:t>
      </w:r>
    </w:p>
    <w:bookmarkEnd w:id="25"/>
    <w:bookmarkEnd w:id="26"/>
    <w:bookmarkEnd w:id="27"/>
    <w:sectPr>
      <w:footnotePr>
        <w:numRestart w:val="eachSect"/>
      </w:footnotePr>
    </w:sectPr>
    <w:p>
      <w:pPr>
        <w:pStyle w:val="Title"/>
      </w:pPr>
      <w:r>
        <w:t xml:space="preserve">Capítulo 2: Estado del Arte</w:t>
      </w:r>
    </w:p>
    <w:bookmarkStart w:id="28" w:name="estado-del-arte"/>
    <w:p>
      <w:pPr>
        <w:pStyle w:val="Heading1"/>
      </w:pPr>
      <w:r>
        <w:t xml:space="preserve">2. ESTADO DEL ARTE</w:t>
      </w:r>
    </w:p>
    <w:bookmarkStart w:id="9" w:name="introducción"/>
    <w:p>
      <w:pPr>
        <w:pStyle w:val="Heading2"/>
      </w:pPr>
      <w:r>
        <w:t xml:space="preserve">2.1 Introducción</w:t>
      </w:r>
    </w:p>
    <w:p>
      <w:pPr>
        <w:pStyle w:val="FirstParagraph"/>
      </w:pPr>
      <w:r>
        <w:t xml:space="preserve">El procesamiento de lenguaje natural ha transformado la gestión del conocimiento y el soporte técnico en las organizaciones modernas. La integración de modelos de lenguaje preentrenados, motores de búsqueda vectorial y bases de conocimiento especializadas ha permitido desarrollar sistemas más eficientes y precisos para la recuperación de información técnica. Este capítulo examina el estado actual en la aplicación de NLP al soporte técnico, con énfasis en arquitecturas RAG, bases de datos vectoriales, modelos de embeddings especializados y métricas de evaluación avanzadas.</w:t>
      </w:r>
    </w:p>
    <w:p>
      <w:pPr>
        <w:pStyle w:val="BodyText"/>
      </w:pPr>
      <w:r>
        <w:t xml:space="preserve">La evolución desde sistemas tradicionales basados en coincidencia léxica hacia sistemas semánticos capaces de comprender contexto e intención ha marcado un punto de inflexión en la automatización del soporte técnico. Este cambio de paradigma es especialmente relevante en dominios técnicos complejos como Azure, donde la terminología especializada y la interrelación entre servicios requieren un enfoque semántico sofisticado.</w:t>
      </w:r>
    </w:p>
    <w:bookmarkEnd w:id="9"/>
    <w:bookmarkStart w:id="13" w:name="nlp-aplicado-a-soporte-técnico"/>
    <w:p>
      <w:pPr>
        <w:pStyle w:val="Heading2"/>
      </w:pPr>
      <w:r>
        <w:t xml:space="preserve">2.2 NLP Aplicado a Soporte Técnico</w:t>
      </w:r>
    </w:p>
    <w:p>
      <w:pPr>
        <w:pStyle w:val="FirstParagraph"/>
      </w:pPr>
      <w:r>
        <w:t xml:space="preserve">El soporte técnico ha sido tradicionalmente un proceso dependiente del conocimiento tácito y la experiencia humana, lo que genera inconsistencias, demoras y errores sistemáticos. Las técnicas avanzadas de NLP permiten automatizar y mejorar tareas críticas como la clasificación de tickets, la identificación del propósito de consultas, la recuperación de respuestas relevantes y la recomendación de soluciones contextualizadas.</w:t>
      </w:r>
    </w:p>
    <w:bookmarkStart w:id="10" w:name="evolución-de-los-modelos-de-lenguaje"/>
    <w:p>
      <w:pPr>
        <w:pStyle w:val="Heading3"/>
      </w:pPr>
      <w:r>
        <w:t xml:space="preserve">2.2.1 Evolución de los Modelos de Lenguaje</w:t>
      </w:r>
    </w:p>
    <w:p>
      <w:pPr>
        <w:pStyle w:val="FirstParagraph"/>
      </w:pPr>
      <w:r>
        <w:t xml:space="preserve">Los enfoques contemporáneos han evolucionado desde modelos estadísticos simples hacia arquitecturas transformer sofisticadas. BERT (Bidirectional Encoder Representations from Transformers) y sus variantes como RoBERTa, DistilBERT y DeBERTa han demostrado resultados superiores en tareas de clasificación multiclase y multilabel en dominios técnicos (Devlin et al., 2018; Liu et al., 2019; He et al., 2020). Cuando se especializan mediante fine-tuning en corpus técnicos, estos modelos capturan matices semánticos que los modelos generales no logran identificar.</w:t>
      </w:r>
    </w:p>
    <w:p>
      <w:pPr>
        <w:pStyle w:val="BodyText"/>
      </w:pPr>
      <w:r>
        <w:t xml:space="preserve">La aparición de modelos especializados como Sentence-BERT (SBERT) revolucionó la generación de embeddings para tareas de recuperación semántica (Reimers &amp; Gurevych, 2019). A diferencia de BERT tradicional, SBERT está optimizado para generar representaciones vectoriales densas que preservan la similitud semántica, fundamental para sistemas de recuperación de información técnica.</w:t>
      </w:r>
    </w:p>
    <w:bookmarkEnd w:id="10"/>
    <w:bookmarkStart w:id="11" w:name="arquitecturas-rag-en-soporte-técnico"/>
    <w:p>
      <w:pPr>
        <w:pStyle w:val="Heading3"/>
      </w:pPr>
      <w:r>
        <w:t xml:space="preserve">2.2.2 Arquitecturas RAG en Soporte Técnico</w:t>
      </w:r>
    </w:p>
    <w:p>
      <w:pPr>
        <w:pStyle w:val="FirstParagraph"/>
      </w:pPr>
      <w:r>
        <w:t xml:space="preserve">Las arquitecturas RAG (Retrieval-Augmented Generation) han emergido como el estándar para sistemas de soporte técnico que combinan recuperación de información con generación de respuestas (Lewis et al., 2020). Estas arquitecturas permiten que los modelos de lenguaje accedan dinámicamente a bases de conocimiento externas durante la generación, superando las limitaciones de memoria y actualización de los modelos parametrizados.</w:t>
      </w:r>
    </w:p>
    <w:p>
      <w:pPr>
        <w:pStyle w:val="BodyText"/>
      </w:pPr>
      <w:r>
        <w:t xml:space="preserve">En el contexto del soporte técnico, los sistemas RAG implementan típicamente un pipeline de dos etapas: recuperación de documentos relevantes mediante búsqueda vectorial, seguida de generación de respuestas contextualizadas utilizando los documentos recuperados. La efectividad de estos sistemas depende críticamente de la calidad de los embeddings y la precisión del mecanismo de recuperación.</w:t>
      </w:r>
    </w:p>
    <w:bookmarkEnd w:id="11"/>
    <w:bookmarkStart w:id="12" w:name="aplicaciones-empresariales-actuales"/>
    <w:p>
      <w:pPr>
        <w:pStyle w:val="Heading3"/>
      </w:pPr>
      <w:r>
        <w:t xml:space="preserve">2.2.3 Aplicaciones Empresariales Actuales</w:t>
      </w:r>
    </w:p>
    <w:p>
      <w:pPr>
        <w:pStyle w:val="FirstParagraph"/>
      </w:pPr>
      <w:r>
        <w:t xml:space="preserve">Empresas tecnológicas líderes como IBM, SAP y Microsoft han implementado soluciones NLP para análisis semántico de tickets y generación de respuestas automatizadas (Saxena et al., 2021). Estas implementaciones incluyen módulos de clasificación automática, extracción de entidades, y sistemas de recomendación basados en similitud semántica.</w:t>
      </w:r>
    </w:p>
    <w:p>
      <w:pPr>
        <w:pStyle w:val="BodyText"/>
      </w:pPr>
      <w:r>
        <w:t xml:space="preserve">El uso de técnicas de resumen automático extractivo y abstractivo permite procesar tickets extensos y extraer información clave para facilitar la priorización y el enrutamiento inteligente (Gupta &amp; Gupta, 2020). Estos enfoques son valiosos en entornos de alto volumen donde la clasificación manual resulta impracticable.</w:t>
      </w:r>
    </w:p>
    <w:bookmarkEnd w:id="12"/>
    <w:bookmarkEnd w:id="13"/>
    <w:bookmarkStart w:id="17" w:name="X858b41cbd83091bb5801b411c61c8377bd460c0"/>
    <w:p>
      <w:pPr>
        <w:pStyle w:val="Heading2"/>
      </w:pPr>
      <w:r>
        <w:t xml:space="preserve">2.3 Bases de Conocimiento como Entrada para Recuperación de Información</w:t>
      </w:r>
    </w:p>
    <w:bookmarkStart w:id="14" w:name="transición-hacia-recuperación-semántica"/>
    <w:p>
      <w:pPr>
        <w:pStyle w:val="Heading3"/>
      </w:pPr>
      <w:r>
        <w:t xml:space="preserve">2.3.1 Transición hacia Recuperación Semántica</w:t>
      </w:r>
    </w:p>
    <w:p>
      <w:pPr>
        <w:pStyle w:val="FirstParagraph"/>
      </w:pPr>
      <w:r>
        <w:t xml:space="preserve">Una tendencia dominante en la industria es la utilización de bases de conocimiento estructuradas como corpus semántico para alimentar sistemas de recuperación en tareas de soporte. Estas bases incluyen documentación técnica oficial, artículos de resolución de problemas, FAQ especializadas y respuestas validadas por la comunidad.</w:t>
      </w:r>
    </w:p>
    <w:p>
      <w:pPr>
        <w:pStyle w:val="BodyText"/>
      </w:pPr>
      <w:r>
        <w:t xml:space="preserve">Los métodos tradicionales de recuperación basados en TF-IDF o BM25 han dado paso progresivamente a técnicas vectoriales que representan textos como embeddings densos, capturando relaciones semánticas más profundas y contextuales (Johnson et al., 2019). Esta transición ha sido impulsada por el surgimiento de modelos como Sentence-BERT, que permiten generar representaciones vectoriales eficientes y semánticamente coherentes para documentos y consultas.</w:t>
      </w:r>
    </w:p>
    <w:bookmarkEnd w:id="14"/>
    <w:bookmarkStart w:id="15" w:name="X4c4833b1730492408f5de979a60c13ed902dc6d"/>
    <w:p>
      <w:pPr>
        <w:pStyle w:val="Heading3"/>
      </w:pPr>
      <w:r>
        <w:t xml:space="preserve">2.3.2 Arquitecturas de Embeddings Especializados</w:t>
      </w:r>
    </w:p>
    <w:p>
      <w:pPr>
        <w:pStyle w:val="FirstParagraph"/>
      </w:pPr>
      <w:r>
        <w:t xml:space="preserve">Los sistemas modernos de recuperación implementan arquitecturas de embeddings especializados que van más allá de los modelos generales. Modelos como E5 (Embeddings from bidirectional Encoder representations) han demostrado rendimiento superior en benchmarks de recuperación semántica en dominios técnicos (Wang et al., 2022). Estos modelos utilizan estrategias de preentrenamiento contrastivo que optimizan la tarea de recuperación.</w:t>
      </w:r>
    </w:p>
    <w:p>
      <w:pPr>
        <w:pStyle w:val="BodyText"/>
      </w:pPr>
      <w:r>
        <w:t xml:space="preserve">La familia de modelos MPNet (Masked and Permuted Pre-training) combina las ventajas de BERT y XLNet, resultando en representaciones más robustas para tareas de recuperación de información técnica (Song et al., 2020). Por otro lado, modelos como MiniLM ofrecen un balance optimizado entre rendimiento y eficiencia computacional, siendo útiles en aplicaciones de producción con restricciones de recursos (Wang et al., 2020).</w:t>
      </w:r>
    </w:p>
    <w:bookmarkEnd w:id="15"/>
    <w:bookmarkStart w:id="16" w:name="X493ebe5e9bebeae450b02f127b98dad99dad487"/>
    <w:p>
      <w:pPr>
        <w:pStyle w:val="Heading3"/>
      </w:pPr>
      <w:r>
        <w:t xml:space="preserve">2.3.3 Integración con Bases de Datos Vectoriales</w:t>
      </w:r>
    </w:p>
    <w:p>
      <w:pPr>
        <w:pStyle w:val="FirstParagraph"/>
      </w:pPr>
      <w:r>
        <w:t xml:space="preserve">El uso de retrievers vectoriales se ha vuelto esencial en arquitecturas RAG modernas. Bases de datos vectoriales especializadas como ChromaDB, FAISS, Milvus y Weaviate han surgido como soluciones optimizadas para almacenamiento y recuperación eficiente de vectores de alta dimensión (Johnson et al., 2019; Douze et al., 2024).</w:t>
      </w:r>
    </w:p>
    <w:p>
      <w:pPr>
        <w:pStyle w:val="BodyText"/>
      </w:pPr>
      <w:r>
        <w:t xml:space="preserve">Inicialmente, este proyecto utilizó Weaviate como base de datos vectorial por su robustez empresarial, arquitectura distribuida, integración nativa con múltiples modelos de lenguaje (OpenAI, Cohere, Hugging Face), y capacidades avanzadas de consulta mediante GraphQL (Weaviate, 2023). Sin embargo, durante el desarrollo se migró a ChromaDB por consideraciones prácticas del entorno de investigación académica: eliminación de costos de infraestructura cloud, reducción sustancial de latencia al operar localmente, compatibilidad nativa con Google Colab sin configuración adicional, y simplicidad de despliegue sin requerimientos de servicios externos.</w:t>
      </w:r>
    </w:p>
    <w:p>
      <w:pPr>
        <w:pStyle w:val="BodyText"/>
      </w:pPr>
      <w:r>
        <w:t xml:space="preserve">ChromaDB mantiene las capacidades esenciales requeridas: filtrado nativo por metadatos, búsqueda híbrida combinando similitud semántica con criterios estructurados, y rendimiento adecuado para conjuntos de datos de escala media (hasta millones de vectores). Esta migración demostró que para aplicaciones de investigación y desarrollo, la simplicidad y control local pueden superar las ventajas de arquitecturas distribuidas más complejas.</w:t>
      </w:r>
    </w:p>
    <w:bookmarkEnd w:id="16"/>
    <w:bookmarkEnd w:id="17"/>
    <w:bookmarkStart w:id="22" w:name="X062f23ba6c2c1497736bfb9540e8b54666d6090"/>
    <w:p>
      <w:pPr>
        <w:pStyle w:val="Heading2"/>
      </w:pPr>
      <w:r>
        <w:t xml:space="preserve">2.4 Comparación de Enfoques Vectoriales y Clásicos</w:t>
      </w:r>
    </w:p>
    <w:bookmarkStart w:id="18" w:name="limitaciones-de-sistemas-clásicos"/>
    <w:p>
      <w:pPr>
        <w:pStyle w:val="Heading3"/>
      </w:pPr>
      <w:r>
        <w:t xml:space="preserve">2.4.1 Limitaciones de Sistemas Clásicos</w:t>
      </w:r>
    </w:p>
    <w:p>
      <w:pPr>
        <w:pStyle w:val="FirstParagraph"/>
      </w:pPr>
      <w:r>
        <w:t xml:space="preserve">Los sistemas clásicos de recuperación de información, implementados en plataformas como Apache Lucene y Elasticsearch, utilizan modelos estadísticos que representan documentos como bolsas de palabras (bag-of-words). Aunque estos sistemas son computacionalmente eficientes y relativamente simples de implementar y mantener, presentan limitaciones fundamentales en la comprensión semántica profunda, lo cual restringe su capacidad para responder consultas formuladas en lenguaje natural (Manning et al., 2008).</w:t>
      </w:r>
    </w:p>
    <w:p>
      <w:pPr>
        <w:pStyle w:val="BodyText"/>
      </w:pPr>
      <w:r>
        <w:t xml:space="preserve">Estas limitaciones son pronunciadas en dominios técnicos donde existe alta variabilidad terminológica, uso de sinónimos especializados, y donde la relevancia depende fuertemente del contexto semántico más que de la coincidencia léxica exacta.</w:t>
      </w:r>
    </w:p>
    <w:bookmarkEnd w:id="18"/>
    <w:bookmarkStart w:id="19" w:name="X708e43ae519c9e93eee4378fb7f2c6a62a5901c"/>
    <w:p>
      <w:pPr>
        <w:pStyle w:val="Heading3"/>
      </w:pPr>
      <w:r>
        <w:t xml:space="preserve">2.4.2 Intentos de Búsqueda Semántica con Bases Relacionales</w:t>
      </w:r>
    </w:p>
    <w:p>
      <w:pPr>
        <w:pStyle w:val="FirstParagraph"/>
      </w:pPr>
      <w:r>
        <w:t xml:space="preserve">Existen esfuerzos para implementar capacidades de búsqueda semántica utilizando bases de datos relacionales tradicionales mediante extensiones especializadas. PostgreSQL con la extensión pgvector permite almacenar y consultar vectores de embeddings utilizando SQL estándar (PostgreSQL, 2023). De manera similar, sistemas como Azure SQL Database han incorporado capacidades de búsqueda vectorial mediante extensiones propietarias.</w:t>
      </w:r>
    </w:p>
    <w:p>
      <w:pPr>
        <w:pStyle w:val="BodyText"/>
      </w:pPr>
      <w:r>
        <w:t xml:space="preserve">Sin embargo, estas soluciones presentan limitaciones significativas comparadas con bases de datos vectoriales especializadas. En términos de rendimiento, los índices están menos optimizados para espacios de alta dimensionalidad, lo que resulta en mayor consumo de memoria, latencias superiores en consultas de similitud a gran escala, y escalabilidad limitada para billones de vectores. Funcionalmente, ofrecen soporte limitado para métricas de distancia especializadas, carecen de optimizaciones para ANN (Approximate Nearest Neighbor), presentan integración compleja con pipelines de ML/NLP, y no tienen funcionalidades nativas para filtrado híbrido semántico-estructurado. Operacionalmente, requieren expertise tanto en SQL como en operaciones vectoriales, presentan configuración y tuning más complejos para cargas de trabajo vectoriales, y tienen procesos de backup y recuperación más complejos para datos de alta dimensionalidad.</w:t>
      </w:r>
    </w:p>
    <w:p>
      <w:pPr>
        <w:pStyle w:val="BodyText"/>
      </w:pPr>
      <w:r>
        <w:t xml:space="preserve">Estas limitaciones hacen que, aunque técnicamente posible, el uso de bases relacionales para búsqueda semántica sea subóptimo comparado con soluciones especializadas como ChromaDB, Pinecone o Weaviate en aplicaciones que requieren alto rendimiento y escalabilidad (Li et al., 2023).</w:t>
      </w:r>
    </w:p>
    <w:bookmarkEnd w:id="19"/>
    <w:bookmarkStart w:id="20" w:name="ventajas-de-sistemas-vectoriales"/>
    <w:p>
      <w:pPr>
        <w:pStyle w:val="Heading3"/>
      </w:pPr>
      <w:r>
        <w:t xml:space="preserve">2.4.3 Ventajas de Sistemas Vectoriales</w:t>
      </w:r>
    </w:p>
    <w:p>
      <w:pPr>
        <w:pStyle w:val="FirstParagraph"/>
      </w:pPr>
      <w:r>
        <w:t xml:space="preserve">En contraste, los sistemas vectoriales modernos utilizan embeddings generados por modelos de aprendizaje profundo, permitiendo recuperar documentos basados en similitud semántica en lugar de coincidencia léxica superficial (Malkov &amp; Yashunin, 2018). Estos sistemas pueden identificar relaciones semánticas complejas, manejar sinónimos y variaciones terminológicas, y capturar dependencias contextuales que los sistemas clásicos no pueden procesar.</w:t>
      </w:r>
    </w:p>
    <w:p>
      <w:pPr>
        <w:pStyle w:val="BodyText"/>
      </w:pPr>
      <w:r>
        <w:t xml:space="preserve">La implementación de algoritmos de búsqueda aproximada de vecinos más cercanos (Approximate Nearest Neighbor, ANN) como HNSW (Hierarchical Navigable Small World) permite realizar búsquedas vectoriales eficientes incluso en espacios de alta dimensionalidad, manteniendo latencias aceptables para aplicaciones de producción.</w:t>
      </w:r>
    </w:p>
    <w:bookmarkEnd w:id="20"/>
    <w:bookmarkStart w:id="21" w:name="enfoques-híbridos-y-reranking"/>
    <w:p>
      <w:pPr>
        <w:pStyle w:val="Heading3"/>
      </w:pPr>
      <w:r>
        <w:t xml:space="preserve">2.4.4 Enfoques Híbridos y Reranking</w:t>
      </w:r>
    </w:p>
    <w:p>
      <w:pPr>
        <w:pStyle w:val="FirstParagraph"/>
      </w:pPr>
      <w:r>
        <w:t xml:space="preserve">Los sistemas más efectivos combinan las fortalezas de ambos enfoques mediante arquitecturas híbridas que utilizan recuperación vectorial para la selección inicial de candidatos, seguida de reranking mediante modelos más sofisticados. Los CrossEncoders, que procesan conjuntamente la consulta y cada documento candidato, pueden proporcionar scores de relevancia más precisos que los bi-encoders utilizados en la fase de recuperación inicial (Reimers &amp; Gurevych, 2019).</w:t>
      </w:r>
    </w:p>
    <w:p>
      <w:pPr>
        <w:pStyle w:val="BodyText"/>
      </w:pPr>
      <w:r>
        <w:t xml:space="preserve">Esta estrategia de pipeline multi-etapa permite balancear eficiencia computacional con precisión de recuperación, siendo efectiva en sistemas de soporte técnico donde la precisión en los primeros resultados es crítica para la experiencia del usuario.</w:t>
      </w:r>
    </w:p>
    <w:bookmarkEnd w:id="21"/>
    <w:bookmarkEnd w:id="22"/>
    <w:bookmarkStart w:id="23" w:name="casos-empresariales-relevantes"/>
    <w:p>
      <w:pPr>
        <w:pStyle w:val="Heading2"/>
      </w:pPr>
      <w:r>
        <w:t xml:space="preserve">2.5 Casos Empresariales Relevantes</w:t>
      </w:r>
    </w:p>
    <w:p>
      <w:pPr>
        <w:pStyle w:val="FirstParagraph"/>
      </w:pPr>
      <w:r>
        <w:t xml:space="preserve">La industria tecnológica ha implementado diversas soluciones NLP para automatización de soporte técnico. Microsoft ha incorporado extensivamente modelos de NLP en Azure para análisis automático de tickets y sugerencia de respuestas basadas en documentación técnica (Microsoft Learn, 2023). Su implementación utiliza arquitecturas híbridas que combinan embeddings semánticos, sistemas de ranking multi-etapa y técnicas de respuesta generativa. El sistema procesa automáticamente tickets entrantes, los clasifica por servicio y urgencia, y sugiere documentación relevante basada en casos históricos similares, integrando múltiples fuentes de conocimiento mediante técnicas de fusión de rankings.</w:t>
      </w:r>
    </w:p>
    <w:p>
      <w:pPr>
        <w:pStyle w:val="BodyText"/>
      </w:pPr>
      <w:r>
        <w:t xml:space="preserve">Zendesk desarrolló</w:t>
      </w:r>
      <w:r>
        <w:t xml:space="preserve"> </w:t>
      </w:r>
      <w:r>
        <w:t xml:space="preserve">“Answer Bot”</w:t>
      </w:r>
      <w:r>
        <w:t xml:space="preserve">, un sistema de inteligencia artificial que utiliza NLP avanzado para sugerir artículos de ayuda relevantes automáticamente cuando un usuario envía un ticket (Zendesk, 2023). El sistema ha logrado reducir en un 10-30% el volumen de tickets que requieren intervención humana directa, demostrando el impacto de las tecnologías NLP en la eficiencia operacional. Answer Bot implementa técnicas de aprendizaje continuo que mejoran sus recomendaciones basándose en el feedback implícito de usuarios y explícito de agentes.</w:t>
      </w:r>
    </w:p>
    <w:p>
      <w:pPr>
        <w:pStyle w:val="BodyText"/>
      </w:pPr>
      <w:r>
        <w:t xml:space="preserve">ServiceNow integra modelos de NLP con su módulo</w:t>
      </w:r>
      <w:r>
        <w:t xml:space="preserve"> </w:t>
      </w:r>
      <w:r>
        <w:t xml:space="preserve">“Predictive Intelligence”</w:t>
      </w:r>
      <w:r>
        <w:t xml:space="preserve">, que clasifica y enruta tickets automáticamente utilizando modelos entrenados en datos históricos extensos (ServiceNow, 2022). El sistema también implementa funcionalidades de recomendación de artículos y predicción de resolución, utilizando técnicas de aprendizaje automático para optimizar la asignación de recursos. La plataforma incluye capacidades de análisis de sentimiento para priorizar tickets con mayor urgencia emocional y detectar patrones de escalación potencial.</w:t>
      </w:r>
    </w:p>
    <w:p>
      <w:pPr>
        <w:pStyle w:val="BodyText"/>
      </w:pPr>
      <w:r>
        <w:t xml:space="preserve">Salesforce Service Cloud ha implementado bots conversacionales que combinan NLP y búsqueda semántica para asistir tanto a clientes como a agentes en tiempo real (Salesforce, 2023). Estas herramientas son alimentadas por bases vectoriales generadas a partir de documentación técnica, casos históricos e interacciones previas, utilizando arquitecturas transformer para generar respuestas contextualizadas. El sistema integra capacidades de procesamiento multimodal que pueden analizar no solo texto sino también imágenes y documentos adjuntos.</w:t>
      </w:r>
    </w:p>
    <w:bookmarkEnd w:id="23"/>
    <w:bookmarkStart w:id="27" w:name="X52301dd133c17c93c9fdacdd227169945605cff"/>
    <w:p>
      <w:pPr>
        <w:pStyle w:val="Heading2"/>
      </w:pPr>
      <w:r>
        <w:t xml:space="preserve">2.6 Medidas de Evaluación en Recuperación de Información</w:t>
      </w:r>
    </w:p>
    <w:bookmarkStart w:id="24" w:name="X2cf74705ba7deafc08653e47bb6558e9d511546"/>
    <w:p>
      <w:pPr>
        <w:pStyle w:val="Heading3"/>
      </w:pPr>
      <w:r>
        <w:t xml:space="preserve">2.6.1 Métricas Tradicionales de Recuperación y Ranking</w:t>
      </w:r>
    </w:p>
    <w:p>
      <w:pPr>
        <w:pStyle w:val="FirstParagraph"/>
      </w:pPr>
      <w:r>
        <w:t xml:space="preserve">La evaluación rigurosa de sistemas de recuperación de información es fundamental para validar la efectividad de las soluciones propuestas. Las métricas tradicionales como Precision, Recall y F1-score continúan siendo ampliamente utilizadas, pero requieren adaptación y complementación con métricas específicas para el paradigma de recuperación semántica.</w:t>
      </w:r>
    </w:p>
    <w:p>
      <w:pPr>
        <w:pStyle w:val="BodyText"/>
      </w:pPr>
      <w:r>
        <w:rPr>
          <w:b/>
          <w:bCs/>
        </w:rPr>
        <w:t xml:space="preserve">Precision</w:t>
      </w:r>
      <w:r>
        <w:t xml:space="preserve"> </w:t>
      </w:r>
      <w:r>
        <w:t xml:space="preserve">mide la proporción de documentos relevantes entre los documentos recuperados, siendo crucial cuando se busca minimizar falsos positivos. En contextos de soporte técnico, recomendar artículos irrelevantes puede generar frustración y pérdida de confianza en el sistema.</w:t>
      </w:r>
      <w:r>
        <w:t xml:space="preserve"> </w:t>
      </w:r>
      <w:r>
        <w:rPr>
          <w:b/>
          <w:bCs/>
        </w:rPr>
        <w:t xml:space="preserve">Recall</w:t>
      </w:r>
      <w:r>
        <w:t xml:space="preserve"> </w:t>
      </w:r>
      <w:r>
        <w:t xml:space="preserve">evalúa la proporción de documentos relevantes recuperados sobre el total disponible. Esta métrica es crítica en soporte técnico, donde omitir información relevante puede resultar en resolución inadecuada del problema del usuario.</w:t>
      </w:r>
      <w:r>
        <w:t xml:space="preserve"> </w:t>
      </w:r>
      <w:r>
        <w:rPr>
          <w:b/>
          <w:bCs/>
        </w:rPr>
        <w:t xml:space="preserve">F1-Score</w:t>
      </w:r>
      <w:r>
        <w:t xml:space="preserve"> </w:t>
      </w:r>
      <w:r>
        <w:t xml:space="preserve">representa la media armónica entre precision y recall, proporcionando una métrica balanceada útil cuando ambos aspectos son igualmente importantes.</w:t>
      </w:r>
    </w:p>
    <w:p>
      <w:pPr>
        <w:pStyle w:val="BodyText"/>
      </w:pPr>
      <w:r>
        <w:rPr>
          <w:b/>
          <w:bCs/>
        </w:rPr>
        <w:t xml:space="preserve">Mean Reciprocal Rank (MRR)</w:t>
      </w:r>
      <w:r>
        <w:t xml:space="preserve"> </w:t>
      </w:r>
      <w:r>
        <w:t xml:space="preserve">es fundamental cuando el sistema devuelve listas ordenadas de resultados y se busca evaluar qué tan pronto aparece la respuesta relevante. En soporte técnico, esta métrica es valiosa para evaluar la utilidad de los primeros resultados mostrados al agente, ya que típicamente solo se revisan los primeros 3-5 resultados.</w:t>
      </w:r>
      <w:r>
        <w:t xml:space="preserve"> </w:t>
      </w:r>
      <w:r>
        <w:rPr>
          <w:b/>
          <w:bCs/>
        </w:rPr>
        <w:t xml:space="preserve">Normalized Discounted Cumulative Gain (NDCG)</w:t>
      </w:r>
      <w:r>
        <w:t xml:space="preserve"> </w:t>
      </w:r>
      <w:r>
        <w:t xml:space="preserve">considera tanto la relevancia de los resultados como su posición en la lista, aplicando un descuento logarítmico que penaliza resultados relevantes en posiciones inferiores.</w:t>
      </w:r>
    </w:p>
    <w:p>
      <w:pPr>
        <w:pStyle w:val="BodyText"/>
      </w:pPr>
      <w:r>
        <w:rPr>
          <w:b/>
          <w:bCs/>
        </w:rPr>
        <w:t xml:space="preserve">Precision@k y Recall@k</w:t>
      </w:r>
      <w:r>
        <w:t xml:space="preserve"> </w:t>
      </w:r>
      <w:r>
        <w:t xml:space="preserve">están diseñadas para evaluar la calidad de los primeros k resultados. Precision@k mide la proporción de resultados relevantes entre los primeros k documentos recuperados. Por ejemplo, si entre los primeros 5 artículos sugeridos, 3 son relevantes, entonces Precision@5 = 0.6. Recall@k evalúa cuántos documentos relevantes fueron recuperados entre los primeros k, comparado con el total disponible. Si hay 4 documentos relevantes totales y el sistema recupera 3 dentro de los primeros 5, entonces Recall@5 = 0.75.</w:t>
      </w:r>
    </w:p>
    <w:p>
      <w:pPr>
        <w:pStyle w:val="BodyText"/>
      </w:pPr>
      <w:r>
        <w:t xml:space="preserve">Las fórmulas matemáticas de estas métricas se presentan en la Tabla 2.1:</w:t>
      </w:r>
    </w:p>
    <w:p>
      <w:pPr>
        <w:pStyle w:val="BodyText"/>
      </w:pPr>
      <w:r>
        <w:rPr>
          <w:b/>
          <w:bCs/>
        </w:rPr>
        <w:t xml:space="preserve">Tabla 2.1: Fórmulas de Métricas Tradicionales de Recuperación y Ranking</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Precision</w:t>
            </w:r>
          </w:p>
        </w:tc>
        <w:tc>
          <w:tcPr/>
          <w:p>
            <w:pPr>
              <w:pStyle w:val="Compact"/>
            </w:pPr>
            <m:oMath>
              <m:r>
                <m:t>P</m:t>
              </m:r>
              <m:r>
                <m:rPr>
                  <m:sty m:val="p"/>
                </m:rPr>
                <m:t>=</m:t>
              </m:r>
              <m:f>
                <m:fPr>
                  <m:type m:val="bar"/>
                </m:fPr>
                <m:num>
                  <m:r>
                    <m:t>T</m:t>
                  </m:r>
                  <m:r>
                    <m:t>P</m:t>
                  </m:r>
                </m:num>
                <m:den>
                  <m:r>
                    <m:t>T</m:t>
                  </m:r>
                  <m:r>
                    <m:t>P</m:t>
                  </m:r>
                  <m:r>
                    <m:rPr>
                      <m:sty m:val="p"/>
                    </m:rPr>
                    <m:t>+</m:t>
                  </m:r>
                  <m:r>
                    <m:t>F</m:t>
                  </m:r>
                  <m:r>
                    <m:t>P</m:t>
                  </m:r>
                </m:den>
              </m:f>
            </m:oMath>
          </w:p>
        </w:tc>
        <w:tc>
          <w:tcPr/>
          <w:p>
            <w:pPr>
              <w:pStyle w:val="Compact"/>
            </w:pPr>
            <w:r>
              <w:t xml:space="preserve">TP = Verdaderos Positivos, FP = Falsos Positivos</w:t>
            </w:r>
          </w:p>
        </w:tc>
      </w:tr>
      <w:tr>
        <w:tc>
          <w:tcPr/>
          <w:p>
            <w:pPr>
              <w:pStyle w:val="Compact"/>
            </w:pPr>
            <w:r>
              <w:rPr>
                <w:b/>
                <w:bCs/>
              </w:rPr>
              <w:t xml:space="preserve">Recall</w:t>
            </w:r>
          </w:p>
        </w:tc>
        <w:tc>
          <w:tcPr/>
          <w:p>
            <w:pPr>
              <w:pStyle w:val="Compact"/>
            </w:pPr>
            <m:oMath>
              <m:r>
                <m:t>R</m:t>
              </m:r>
              <m:r>
                <m:rPr>
                  <m:sty m:val="p"/>
                </m:rPr>
                <m:t>=</m:t>
              </m:r>
              <m:f>
                <m:fPr>
                  <m:type m:val="bar"/>
                </m:fPr>
                <m:num>
                  <m:r>
                    <m:t>T</m:t>
                  </m:r>
                  <m:r>
                    <m:t>P</m:t>
                  </m:r>
                </m:num>
                <m:den>
                  <m:r>
                    <m:t>T</m:t>
                  </m:r>
                  <m:r>
                    <m:t>P</m:t>
                  </m:r>
                  <m:r>
                    <m:rPr>
                      <m:sty m:val="p"/>
                    </m:rPr>
                    <m:t>+</m:t>
                  </m:r>
                  <m:r>
                    <m:t>F</m:t>
                  </m:r>
                  <m:r>
                    <m:t>N</m:t>
                  </m:r>
                </m:den>
              </m:f>
            </m:oMath>
          </w:p>
        </w:tc>
        <w:tc>
          <w:tcPr/>
          <w:p>
            <w:pPr>
              <w:pStyle w:val="Compact"/>
            </w:pPr>
            <w:r>
              <w:t xml:space="preserve">TP = Verdaderos Positivos, FN = Falsos Negativos</w:t>
            </w:r>
          </w:p>
        </w:tc>
      </w:tr>
      <w:tr>
        <w:tc>
          <w:tcPr/>
          <w:p>
            <w:pPr>
              <w:pStyle w:val="Compact"/>
            </w:pPr>
            <w:r>
              <w:rPr>
                <w:b/>
                <w:bCs/>
              </w:rPr>
              <w:t xml:space="preserve">F1-Score</w:t>
            </w:r>
          </w:p>
        </w:tc>
        <w:tc>
          <w:tcPr/>
          <w:p>
            <w:pPr>
              <w:pStyle w:val="Compact"/>
            </w:pPr>
            <m:oMath>
              <m:sSub>
                <m:e>
                  <m:r>
                    <m:t>F</m:t>
                  </m:r>
                </m:e>
                <m:sub>
                  <m:r>
                    <m:t>1</m:t>
                  </m:r>
                </m:sub>
              </m:sSub>
              <m:r>
                <m:rPr>
                  <m:sty m:val="p"/>
                </m:rPr>
                <m:t>=</m:t>
              </m:r>
              <m:r>
                <m:t>2</m:t>
              </m:r>
              <m:r>
                <m:rPr>
                  <m:sty m:val="p"/>
                </m:rPr>
                <m:t>⋅</m:t>
              </m:r>
              <m:f>
                <m:fPr>
                  <m:type m:val="bar"/>
                </m:fPr>
                <m:num>
                  <m:r>
                    <m:t>P</m:t>
                  </m:r>
                  <m:r>
                    <m:rPr>
                      <m:sty m:val="p"/>
                    </m:rPr>
                    <m:t>⋅</m:t>
                  </m:r>
                  <m:r>
                    <m:t>R</m:t>
                  </m:r>
                </m:num>
                <m:den>
                  <m:r>
                    <m:t>P</m:t>
                  </m:r>
                  <m:r>
                    <m:rPr>
                      <m:sty m:val="p"/>
                    </m:rPr>
                    <m:t>+</m:t>
                  </m:r>
                  <m:r>
                    <m:t>R</m:t>
                  </m:r>
                </m:den>
              </m:f>
            </m:oMath>
          </w:p>
        </w:tc>
        <w:tc>
          <w:tcPr/>
          <w:p>
            <w:pPr>
              <w:pStyle w:val="Compact"/>
            </w:pPr>
            <w:r>
              <w:t xml:space="preserve">P = Precision, R = Recall</w:t>
            </w:r>
          </w:p>
        </w:tc>
      </w:tr>
      <w:tr>
        <w:tc>
          <w:tcPr/>
          <w:p>
            <w:pPr>
              <w:pStyle w:val="Compact"/>
            </w:pPr>
            <w:r>
              <w:rPr>
                <w:b/>
                <w:bCs/>
              </w:rPr>
              <w:t xml:space="preserve">NDCG</w:t>
            </w:r>
          </w:p>
        </w:tc>
        <w:tc>
          <w:tcPr/>
          <w:p>
            <w:pPr>
              <w:pStyle w:val="Compact"/>
            </w:pPr>
            <m:oMath>
              <m:r>
                <m:t>N</m:t>
              </m:r>
              <m:r>
                <m:t>D</m:t>
              </m:r>
              <m:r>
                <m:t>C</m:t>
              </m:r>
              <m:r>
                <m:t>G</m:t>
              </m:r>
              <m:r>
                <m:rPr>
                  <m:sty m:val="p"/>
                </m:rPr>
                <m:t>=</m:t>
              </m:r>
              <m:f>
                <m:fPr>
                  <m:type m:val="bar"/>
                </m:fPr>
                <m:num>
                  <m:r>
                    <m:t>D</m:t>
                  </m:r>
                  <m:r>
                    <m:t>C</m:t>
                  </m:r>
                  <m:r>
                    <m:t>G</m:t>
                  </m:r>
                </m:num>
                <m:den>
                  <m:r>
                    <m:t>I</m:t>
                  </m:r>
                  <m:r>
                    <m:t>D</m:t>
                  </m:r>
                  <m:r>
                    <m:t>C</m:t>
                  </m:r>
                  <m:r>
                    <m:t>G</m:t>
                  </m:r>
                </m:den>
              </m:f>
            </m:oMath>
            <w:r>
              <w:t xml:space="preserve"> </w:t>
            </w:r>
            <w:r>
              <w:t xml:space="preserve"> </w:t>
            </w:r>
            <m:oMath>
              <m:r>
                <m:t>D</m:t>
              </m:r>
              <m:r>
                <m:t>C</m:t>
              </m:r>
              <m:r>
                <m:t>G</m:t>
              </m:r>
              <m:r>
                <m:rPr>
                  <m:sty m:val="p"/>
                </m:rPr>
                <m:t>=</m:t>
              </m:r>
              <m:nary>
                <m:naryPr>
                  <m:chr m:val="∑"/>
                  <m:limLoc m:val="undOvr"/>
                  <m:subHide m:val="off"/>
                  <m:supHide m:val="off"/>
                </m:naryPr>
                <m:sub>
                  <m:r>
                    <m:t>i</m:t>
                  </m:r>
                  <m:r>
                    <m:rPr>
                      <m:sty m:val="p"/>
                    </m:rPr>
                    <m:t>=</m:t>
                  </m:r>
                  <m:r>
                    <m:t>1</m:t>
                  </m:r>
                </m:sub>
                <m:sup>
                  <m:r>
                    <m:t>n</m:t>
                  </m:r>
                </m:sup>
                <m:e>
                  <m:f>
                    <m:fPr>
                      <m:type m:val="bar"/>
                    </m:fPr>
                    <m:num>
                      <m:r>
                        <m:t>r</m:t>
                      </m:r>
                      <m:r>
                        <m:t>e</m:t>
                      </m:r>
                      <m:sSub>
                        <m:e>
                          <m:r>
                            <m:t>l</m:t>
                          </m:r>
                        </m:e>
                        <m:sub>
                          <m:r>
                            <m:t>i</m:t>
                          </m:r>
                        </m:sub>
                      </m:sSub>
                    </m:num>
                    <m:den>
                      <m:sSub>
                        <m:e>
                          <m:r>
                            <m:rPr>
                              <m:sty m:val="p"/>
                            </m:rPr>
                            <m:t>log</m:t>
                          </m:r>
                        </m:e>
                        <m:sub>
                          <m:r>
                            <m:t>2</m:t>
                          </m:r>
                        </m:sub>
                      </m:sSub>
                      <m:r>
                        <m:rPr>
                          <m:sty m:val="p"/>
                        </m:rPr>
                        <m:t>(</m:t>
                      </m:r>
                      <m:r>
                        <m:t>i</m:t>
                      </m:r>
                      <m:r>
                        <m:rPr>
                          <m:sty m:val="p"/>
                        </m:rPr>
                        <m:t>+</m:t>
                      </m:r>
                      <m:r>
                        <m:t>1</m:t>
                      </m:r>
                      <m:r>
                        <m:rPr>
                          <m:sty m:val="p"/>
                        </m:rPr>
                        <m:t>)</m:t>
                      </m:r>
                    </m:den>
                  </m:f>
                </m:e>
              </m:nary>
            </m:oMath>
          </w:p>
        </w:tc>
        <w:tc>
          <w:tcPr/>
          <w:p>
            <w:pPr>
              <w:pStyle w:val="Compact"/>
            </w:pPr>
            <m:oMath>
              <m:r>
                <m:t>r</m:t>
              </m:r>
              <m:r>
                <m:t>e</m:t>
              </m:r>
              <m:sSub>
                <m:e>
                  <m:r>
                    <m:t>l</m:t>
                  </m:r>
                </m:e>
                <m:sub>
                  <m:r>
                    <m:t>i</m:t>
                  </m:r>
                </m:sub>
              </m:sSub>
            </m:oMath>
            <w:r>
              <w:t xml:space="preserve"> </w:t>
            </w:r>
            <w:r>
              <w:t xml:space="preserve">= relevancia del documento en posición</w:t>
            </w:r>
            <w:r>
              <w:t xml:space="preserve"> </w:t>
            </w:r>
            <m:oMath>
              <m:r>
                <m:t>i</m:t>
              </m:r>
            </m:oMath>
            <w:r>
              <w:t xml:space="preserve">,</w:t>
            </w:r>
            <w:r>
              <w:t xml:space="preserve"> </w:t>
            </w:r>
            <m:oMath>
              <m:r>
                <m:t>n</m:t>
              </m:r>
            </m:oMath>
            <w:r>
              <w:t xml:space="preserve"> </w:t>
            </w:r>
            <w:r>
              <w:t xml:space="preserve">= total de documentos,</w:t>
            </w:r>
            <w:r>
              <w:t xml:space="preserve"> </w:t>
            </w:r>
            <m:oMath>
              <m:r>
                <m:t>I</m:t>
              </m:r>
              <m:r>
                <m:t>D</m:t>
              </m:r>
              <m:r>
                <m:t>C</m:t>
              </m:r>
              <m:r>
                <m:t>G</m:t>
              </m:r>
            </m:oMath>
            <w:r>
              <w:t xml:space="preserve"> </w:t>
            </w:r>
            <w:r>
              <w:t xml:space="preserve">= DCG ideal</w:t>
            </w:r>
          </w:p>
        </w:tc>
      </w:tr>
      <w:tr>
        <w:tc>
          <w:tcPr/>
          <w:p>
            <w:pPr>
              <w:pStyle w:val="Compact"/>
            </w:pPr>
            <w:r>
              <w:rPr>
                <w:b/>
                <w:bCs/>
              </w:rPr>
              <w:t xml:space="preserve">MAP</w:t>
            </w:r>
          </w:p>
        </w:tc>
        <w:tc>
          <w:tcPr/>
          <w:p>
            <w:pPr>
              <w:pStyle w:val="Compact"/>
            </w:pPr>
            <m:oMath>
              <m:r>
                <m:t>M</m:t>
              </m:r>
              <m:r>
                <m:t>A</m:t>
              </m:r>
              <m:r>
                <m:t>P</m:t>
              </m:r>
              <m:r>
                <m:rPr>
                  <m:sty m:val="p"/>
                </m:rPr>
                <m:t>=</m:t>
              </m:r>
              <m:f>
                <m:fPr>
                  <m:type m:val="bar"/>
                </m:fPr>
                <m:num>
                  <m:r>
                    <m:t>1</m:t>
                  </m:r>
                </m:num>
                <m:den>
                  <m:r>
                    <m:rPr>
                      <m:sty m:val="p"/>
                    </m:rPr>
                    <m:t>∥</m:t>
                  </m:r>
                  <m:r>
                    <m:t>Q</m:t>
                  </m:r>
                  <m:r>
                    <m:rPr>
                      <m:sty m:val="p"/>
                    </m:rPr>
                    <m:t>∥</m:t>
                  </m:r>
                </m:den>
              </m:f>
              <m:nary>
                <m:naryPr>
                  <m:chr m:val="∑"/>
                  <m:limLoc m:val="undOvr"/>
                  <m:subHide m:val="off"/>
                  <m:supHide m:val="off"/>
                </m:naryPr>
                <m:sub>
                  <m:r>
                    <m:t>q</m:t>
                  </m:r>
                  <m:r>
                    <m:rPr>
                      <m:sty m:val="p"/>
                    </m:rPr>
                    <m:t>=</m:t>
                  </m:r>
                  <m:r>
                    <m:t>1</m:t>
                  </m:r>
                </m:sub>
                <m:sup>
                  <m:r>
                    <m:rPr>
                      <m:sty m:val="p"/>
                    </m:rPr>
                    <m:t>∥</m:t>
                  </m:r>
                  <m:r>
                    <m:t>Q</m:t>
                  </m:r>
                  <m:r>
                    <m:rPr>
                      <m:sty m:val="p"/>
                    </m:rPr>
                    <m:t>∥</m:t>
                  </m:r>
                </m:sup>
                <m:e>
                  <m:r>
                    <m:t>A</m:t>
                  </m:r>
                </m:e>
              </m:nary>
              <m:r>
                <m:t>P</m:t>
              </m:r>
              <m:r>
                <m:rPr>
                  <m:sty m:val="p"/>
                </m:rPr>
                <m:t>(</m:t>
              </m:r>
              <m:r>
                <m:t>q</m:t>
              </m:r>
              <m:r>
                <m:rPr>
                  <m:sty m:val="p"/>
                </m:rPr>
                <m:t>)</m:t>
              </m:r>
            </m:oMath>
            <w:r>
              <w:t xml:space="preserve"> </w:t>
            </w:r>
            <w:r>
              <w:t xml:space="preserve"> </w:t>
            </w:r>
            <m:oMath>
              <m:r>
                <m:t>A</m:t>
              </m:r>
              <m:r>
                <m:t>P</m:t>
              </m:r>
              <m:r>
                <m:rPr>
                  <m:sty m:val="p"/>
                </m:rPr>
                <m:t>(</m:t>
              </m:r>
              <m:r>
                <m:t>q</m:t>
              </m:r>
              <m:r>
                <m:rPr>
                  <m:sty m:val="p"/>
                </m:rPr>
                <m:t>)</m:t>
              </m:r>
              <m:r>
                <m:rPr>
                  <m:sty m:val="p"/>
                </m:rPr>
                <m:t>=</m:t>
              </m:r>
              <m:f>
                <m:fPr>
                  <m:type m:val="bar"/>
                </m:fPr>
                <m:num>
                  <m:r>
                    <m:t>1</m:t>
                  </m:r>
                </m:num>
                <m:den>
                  <m:r>
                    <m:rPr>
                      <m:sty m:val="p"/>
                    </m:rPr>
                    <m:t>∥</m:t>
                  </m:r>
                  <m:sSub>
                    <m:e>
                      <m:r>
                        <m:t>R</m:t>
                      </m:r>
                    </m:e>
                    <m:sub>
                      <m:r>
                        <m:t>q</m:t>
                      </m:r>
                    </m:sub>
                  </m:sSub>
                  <m:r>
                    <m:rPr>
                      <m:sty m:val="p"/>
                    </m:rPr>
                    <m:t>∥</m:t>
                  </m:r>
                </m:den>
              </m:f>
              <m:nary>
                <m:naryPr>
                  <m:chr m:val="∑"/>
                  <m:limLoc m:val="undOvr"/>
                  <m:subHide m:val="off"/>
                  <m:supHide m:val="off"/>
                </m:naryPr>
                <m:sub>
                  <m:r>
                    <m:t>k</m:t>
                  </m:r>
                  <m:r>
                    <m:rPr>
                      <m:sty m:val="p"/>
                    </m:rPr>
                    <m:t>=</m:t>
                  </m:r>
                  <m:r>
                    <m:t>1</m:t>
                  </m:r>
                </m:sub>
                <m:sup>
                  <m:r>
                    <m:t>n</m:t>
                  </m:r>
                </m:sup>
                <m:e>
                  <m:r>
                    <m:t>P</m:t>
                  </m:r>
                </m:e>
              </m:nary>
              <m:r>
                <m:rPr>
                  <m:sty m:val="p"/>
                </m:rPr>
                <m:t>(</m:t>
              </m:r>
              <m:r>
                <m:t>k</m:t>
              </m:r>
              <m:r>
                <m:rPr>
                  <m:sty m:val="p"/>
                </m:rPr>
                <m:t>)</m:t>
              </m:r>
              <m:r>
                <m:rPr>
                  <m:sty m:val="p"/>
                </m:rPr>
                <m:t>⋅</m:t>
              </m:r>
              <m:r>
                <m:t>r</m:t>
              </m:r>
              <m:r>
                <m:t>e</m:t>
              </m:r>
              <m:r>
                <m:t>l</m:t>
              </m:r>
              <m:r>
                <m:rPr>
                  <m:sty m:val="p"/>
                </m:rPr>
                <m:t>(</m:t>
              </m:r>
              <m:r>
                <m:t>k</m:t>
              </m:r>
              <m:r>
                <m:rPr>
                  <m:sty m:val="p"/>
                </m:rPr>
                <m:t>)</m:t>
              </m:r>
            </m:oMath>
          </w:p>
        </w:tc>
        <w:tc>
          <w:tcPr/>
          <w:p>
            <w:pPr>
              <w:pStyle w:val="Compact"/>
            </w:pPr>
            <m:oMath>
              <m:r>
                <m:t>Q</m:t>
              </m:r>
            </m:oMath>
            <w:r>
              <w:t xml:space="preserve"> </w:t>
            </w:r>
            <w:r>
              <w:t xml:space="preserve">= consultas,</w:t>
            </w:r>
            <w:r>
              <w:t xml:space="preserve"> </w:t>
            </w:r>
            <m:oMath>
              <m:r>
                <m:t>A</m:t>
              </m:r>
              <m:r>
                <m:t>P</m:t>
              </m:r>
              <m:r>
                <m:rPr>
                  <m:sty m:val="p"/>
                </m:rPr>
                <m:t>(</m:t>
              </m:r>
              <m:r>
                <m:t>q</m:t>
              </m:r>
              <m:r>
                <m:rPr>
                  <m:sty m:val="p"/>
                </m:rPr>
                <m:t>)</m:t>
              </m:r>
            </m:oMath>
            <w:r>
              <w:t xml:space="preserve"> </w:t>
            </w:r>
            <w:r>
              <w:t xml:space="preserve">= Average Precision para consulta</w:t>
            </w:r>
            <w:r>
              <w:t xml:space="preserve"> </w:t>
            </w:r>
            <m:oMath>
              <m:r>
                <m:t>q</m:t>
              </m:r>
            </m:oMath>
            <w:r>
              <w:t xml:space="preserve">,</w:t>
            </w:r>
            <w:r>
              <w:t xml:space="preserve"> </w:t>
            </w:r>
            <m:oMath>
              <m:sSub>
                <m:e>
                  <m:r>
                    <m:t>R</m:t>
                  </m:r>
                </m:e>
                <m:sub>
                  <m:r>
                    <m:t>q</m:t>
                  </m:r>
                </m:sub>
              </m:sSub>
            </m:oMath>
            <w:r>
              <w:t xml:space="preserve"> </w:t>
            </w:r>
            <w:r>
              <w:t xml:space="preserve">= documentos relevantes para</w:t>
            </w:r>
            <w:r>
              <w:t xml:space="preserve"> </w:t>
            </w:r>
            <m:oMath>
              <m:r>
                <m:t>q</m:t>
              </m:r>
            </m:oMath>
            <w:r>
              <w:t xml:space="preserve">,</w:t>
            </w:r>
            <w:r>
              <w:t xml:space="preserve"> </w:t>
            </w:r>
            <m:oMath>
              <m:r>
                <m:t>r</m:t>
              </m:r>
              <m:r>
                <m:t>e</m:t>
              </m:r>
              <m:r>
                <m:t>l</m:t>
              </m:r>
              <m:r>
                <m:rPr>
                  <m:sty m:val="p"/>
                </m:rPr>
                <m:t>(</m:t>
              </m:r>
              <m:r>
                <m:t>k</m:t>
              </m:r>
              <m:r>
                <m:rPr>
                  <m:sty m:val="p"/>
                </m:rPr>
                <m:t>)</m:t>
              </m:r>
            </m:oMath>
            <w:r>
              <w:t xml:space="preserve"> </w:t>
            </w:r>
            <w:r>
              <w:t xml:space="preserve">= 1 si doc en posición</w:t>
            </w:r>
            <w:r>
              <w:t xml:space="preserve"> </w:t>
            </w:r>
            <m:oMath>
              <m:r>
                <m:t>k</m:t>
              </m:r>
            </m:oMath>
            <w:r>
              <w:t xml:space="preserve"> </w:t>
            </w:r>
            <w:r>
              <w:t xml:space="preserve">es relevante, 0 si no</w:t>
            </w:r>
          </w:p>
        </w:tc>
      </w:tr>
      <w:tr>
        <w:tc>
          <w:tcPr/>
          <w:p>
            <w:pPr>
              <w:pStyle w:val="Compact"/>
            </w:pPr>
            <w:r>
              <w:rPr>
                <w:b/>
                <w:bCs/>
              </w:rPr>
              <w:t xml:space="preserve">MRR</w:t>
            </w:r>
          </w:p>
        </w:tc>
        <w:tc>
          <w:tcPr/>
          <w:p>
            <w:pPr>
              <w:pStyle w:val="Compact"/>
            </w:pPr>
            <m:oMath>
              <m:r>
                <m:t>M</m:t>
              </m:r>
              <m:r>
                <m:t>R</m:t>
              </m:r>
              <m:r>
                <m:t>R</m:t>
              </m:r>
              <m:r>
                <m:rPr>
                  <m:sty m:val="p"/>
                </m:rPr>
                <m:t>=</m:t>
              </m:r>
              <m:f>
                <m:fPr>
                  <m:type m:val="bar"/>
                </m:fPr>
                <m:num>
                  <m:r>
                    <m:t>1</m:t>
                  </m:r>
                </m:num>
                <m:den>
                  <m:r>
                    <m:rPr>
                      <m:sty m:val="p"/>
                    </m:rPr>
                    <m:t>∥</m:t>
                  </m:r>
                  <m:r>
                    <m:t>Q</m:t>
                  </m:r>
                  <m:r>
                    <m:rPr>
                      <m:sty m:val="p"/>
                    </m:rPr>
                    <m:t>∥</m:t>
                  </m:r>
                </m:den>
              </m:f>
              <m:nary>
                <m:naryPr>
                  <m:chr m:val="∑"/>
                  <m:limLoc m:val="undOvr"/>
                  <m:subHide m:val="off"/>
                  <m:supHide m:val="off"/>
                </m:naryPr>
                <m:sub>
                  <m:r>
                    <m:t>i</m:t>
                  </m:r>
                  <m:r>
                    <m:rPr>
                      <m:sty m:val="p"/>
                    </m:rPr>
                    <m:t>=</m:t>
                  </m:r>
                  <m:r>
                    <m:t>1</m:t>
                  </m:r>
                </m:sub>
                <m:sup>
                  <m:r>
                    <m:rPr>
                      <m:sty m:val="p"/>
                    </m:rPr>
                    <m:t>∥</m:t>
                  </m:r>
                  <m:r>
                    <m:t>Q</m:t>
                  </m:r>
                  <m:r>
                    <m:rPr>
                      <m:sty m:val="p"/>
                    </m:rPr>
                    <m:t>∥</m:t>
                  </m:r>
                </m:sup>
                <m:e>
                  <m:f>
                    <m:fPr>
                      <m:type m:val="bar"/>
                    </m:fPr>
                    <m:num>
                      <m:r>
                        <m:t>1</m:t>
                      </m:r>
                    </m:num>
                    <m:den>
                      <m:r>
                        <m:t>r</m:t>
                      </m:r>
                      <m:r>
                        <m:t>a</m:t>
                      </m:r>
                      <m:r>
                        <m:t>n</m:t>
                      </m:r>
                      <m:sSub>
                        <m:e>
                          <m:r>
                            <m:t>k</m:t>
                          </m:r>
                        </m:e>
                        <m:sub>
                          <m:r>
                            <m:t>i</m:t>
                          </m:r>
                        </m:sub>
                      </m:sSub>
                    </m:den>
                  </m:f>
                </m:e>
              </m:nary>
            </m:oMath>
          </w:p>
        </w:tc>
        <w:tc>
          <w:tcPr/>
          <w:p>
            <w:pPr>
              <w:pStyle w:val="Compact"/>
            </w:pPr>
            <m:oMath>
              <m:r>
                <m:t>Q</m:t>
              </m:r>
            </m:oMath>
            <w:r>
              <w:t xml:space="preserve"> </w:t>
            </w:r>
            <w:r>
              <w:t xml:space="preserve">= conjunto de consultas,</w:t>
            </w:r>
            <w:r>
              <w:t xml:space="preserve"> </w:t>
            </w:r>
            <m:oMath>
              <m:r>
                <m:t>r</m:t>
              </m:r>
              <m:r>
                <m:t>a</m:t>
              </m:r>
              <m:r>
                <m:t>n</m:t>
              </m:r>
              <m:sSub>
                <m:e>
                  <m:r>
                    <m:t>k</m:t>
                  </m:r>
                </m:e>
                <m:sub>
                  <m:r>
                    <m:t>i</m:t>
                  </m:r>
                </m:sub>
              </m:sSub>
            </m:oMath>
            <w:r>
              <w:t xml:space="preserve"> </w:t>
            </w:r>
            <w:r>
              <w:t xml:space="preserve">= posición del primer documento relevante para consulta</w:t>
            </w:r>
            <w:r>
              <w:t xml:space="preserve"> </w:t>
            </w:r>
            <m:oMath>
              <m:r>
                <m:t>i</m:t>
              </m:r>
            </m:oMath>
            <w:r>
              <w:t xml:space="preserve"> </w:t>
            </w:r>
            <w:r>
              <w:t xml:space="preserve">(no tiene versión</w:t>
            </w:r>
            <w:r>
              <w:t xml:space="preserve"> </w:t>
            </w:r>
            <w:r>
              <w:t xml:space="preserve">@k</w:t>
            </w:r>
            <w:r>
              <w:t xml:space="preserve">)</w:t>
            </w:r>
          </w:p>
        </w:tc>
      </w:tr>
      <w:tr>
        <w:tc>
          <w:tcPr/>
          <w:p>
            <w:pPr>
              <w:pStyle w:val="Compact"/>
            </w:pPr>
            <w:r>
              <w:rPr>
                <w:b/>
                <w:bCs/>
              </w:rPr>
              <w:t xml:space="preserve">Precision@k</w:t>
            </w:r>
          </w:p>
        </w:tc>
        <w:tc>
          <w:tcPr/>
          <w:p>
            <w:pPr>
              <w:pStyle w:val="Compact"/>
            </w:pPr>
            <m:oMath>
              <m:r>
                <m:t>P</m:t>
              </m:r>
              <m:r>
                <m:rPr>
                  <m:sty m:val="p"/>
                </m:rPr>
                <m:t>@</m:t>
              </m:r>
              <m:r>
                <m:t>k</m:t>
              </m:r>
              <m:r>
                <m:rPr>
                  <m:sty m:val="p"/>
                </m:rPr>
                <m:t>=</m:t>
              </m:r>
              <m:f>
                <m:fPr>
                  <m:type m:val="bar"/>
                </m:fPr>
                <m:num>
                  <m:r>
                    <m:rPr>
                      <m:sty m:val="p"/>
                    </m:rPr>
                    <m:t>∥</m:t>
                  </m:r>
                  <m:r>
                    <m:rPr>
                      <m:sty m:val="p"/>
                    </m:rPr>
                    <m:t>{</m:t>
                  </m:r>
                  <m:r>
                    <m:t>d</m:t>
                  </m:r>
                  <m:r>
                    <m:rPr>
                      <m:sty m:val="p"/>
                    </m:rPr>
                    <m:t>∈</m:t>
                  </m:r>
                  <m:sSub>
                    <m:e>
                      <m:r>
                        <m:t>D</m:t>
                      </m:r>
                    </m:e>
                    <m:sub>
                      <m:r>
                        <m:t>k</m:t>
                      </m:r>
                    </m:sub>
                  </m:sSub>
                  <m:r>
                    <m:rPr>
                      <m:sty m:val="p"/>
                    </m:rPr>
                    <m:t>:</m:t>
                  </m:r>
                  <m:r>
                    <m:rPr>
                      <m:nor/>
                      <m:sty m:val="p"/>
                    </m:rPr>
                    <m:t>relevant</m:t>
                  </m:r>
                  <m:r>
                    <m:rPr>
                      <m:sty m:val="p"/>
                    </m:rPr>
                    <m:t>(</m:t>
                  </m:r>
                  <m:r>
                    <m:t>d</m:t>
                  </m:r>
                  <m:r>
                    <m:rPr>
                      <m:sty m:val="p"/>
                    </m:rPr>
                    <m:t>)</m:t>
                  </m:r>
                  <m:r>
                    <m:rPr>
                      <m:sty m:val="p"/>
                    </m:rPr>
                    <m:t>}</m:t>
                  </m:r>
                  <m:r>
                    <m:rPr>
                      <m:sty m:val="p"/>
                    </m:rPr>
                    <m:t>∥</m:t>
                  </m:r>
                </m:num>
                <m:den>
                  <m:r>
                    <m:t>k</m:t>
                  </m:r>
                </m:den>
              </m:f>
            </m:oMath>
          </w:p>
        </w:tc>
        <w:tc>
          <w:tcPr/>
          <w:p>
            <w:pPr>
              <w:pStyle w:val="Compact"/>
            </w:pPr>
            <m:oMath>
              <m:sSub>
                <m:e>
                  <m:r>
                    <m:t>D</m:t>
                  </m:r>
                </m:e>
                <m:sub>
                  <m:r>
                    <m:t>k</m:t>
                  </m:r>
                </m:sub>
              </m:sSub>
            </m:oMath>
            <w:r>
              <w:t xml:space="preserve"> </w:t>
            </w:r>
            <w:r>
              <w:t xml:space="preserve">= conjunto de los primeros k documentos recuperados</w:t>
            </w:r>
          </w:p>
        </w:tc>
      </w:tr>
      <w:tr>
        <w:tc>
          <w:tcPr/>
          <w:p>
            <w:pPr>
              <w:pStyle w:val="Compact"/>
            </w:pPr>
            <w:r>
              <w:rPr>
                <w:b/>
                <w:bCs/>
              </w:rPr>
              <w:t xml:space="preserve">Recall@k</w:t>
            </w:r>
          </w:p>
        </w:tc>
        <w:tc>
          <w:tcPr/>
          <w:p>
            <w:pPr>
              <w:pStyle w:val="Compact"/>
            </w:pPr>
            <m:oMath>
              <m:r>
                <m:t>R</m:t>
              </m:r>
              <m:r>
                <m:rPr>
                  <m:sty m:val="p"/>
                </m:rPr>
                <m:t>@</m:t>
              </m:r>
              <m:r>
                <m:t>k</m:t>
              </m:r>
              <m:r>
                <m:rPr>
                  <m:sty m:val="p"/>
                </m:rPr>
                <m:t>=</m:t>
              </m:r>
              <m:f>
                <m:fPr>
                  <m:type m:val="bar"/>
                </m:fPr>
                <m:num>
                  <m:r>
                    <m:rPr>
                      <m:sty m:val="p"/>
                    </m:rPr>
                    <m:t>∥</m:t>
                  </m:r>
                  <m:r>
                    <m:rPr>
                      <m:sty m:val="p"/>
                    </m:rPr>
                    <m:t>{</m:t>
                  </m:r>
                  <m:r>
                    <m:t>d</m:t>
                  </m:r>
                  <m:r>
                    <m:rPr>
                      <m:sty m:val="p"/>
                    </m:rPr>
                    <m:t>∈</m:t>
                  </m:r>
                  <m:sSub>
                    <m:e>
                      <m:r>
                        <m:t>D</m:t>
                      </m:r>
                    </m:e>
                    <m:sub>
                      <m:r>
                        <m:t>k</m:t>
                      </m:r>
                    </m:sub>
                  </m:sSub>
                  <m:r>
                    <m:rPr>
                      <m:sty m:val="p"/>
                    </m:rPr>
                    <m:t>:</m:t>
                  </m:r>
                  <m:r>
                    <m:rPr>
                      <m:nor/>
                      <m:sty m:val="p"/>
                    </m:rPr>
                    <m:t>relevant</m:t>
                  </m:r>
                  <m:r>
                    <m:rPr>
                      <m:sty m:val="p"/>
                    </m:rPr>
                    <m:t>(</m:t>
                  </m:r>
                  <m:r>
                    <m:t>d</m:t>
                  </m:r>
                  <m:r>
                    <m:rPr>
                      <m:sty m:val="p"/>
                    </m:rPr>
                    <m:t>)</m:t>
                  </m:r>
                  <m:r>
                    <m:rPr>
                      <m:sty m:val="p"/>
                    </m:rPr>
                    <m:t>}</m:t>
                  </m:r>
                  <m:r>
                    <m:rPr>
                      <m:sty m:val="p"/>
                    </m:rPr>
                    <m:t>∥</m:t>
                  </m:r>
                </m:num>
                <m:den>
                  <m:r>
                    <m:rPr>
                      <m:sty m:val="p"/>
                    </m:rPr>
                    <m:t>∥</m:t>
                  </m:r>
                  <m:r>
                    <m:t>R</m:t>
                  </m:r>
                  <m:r>
                    <m:rPr>
                      <m:sty m:val="p"/>
                    </m:rPr>
                    <m:t>∥</m:t>
                  </m:r>
                </m:den>
              </m:f>
            </m:oMath>
          </w:p>
        </w:tc>
        <w:tc>
          <w:tcPr/>
          <w:p>
            <w:pPr>
              <w:pStyle w:val="Compact"/>
            </w:pPr>
            <m:oMath>
              <m:sSub>
                <m:e>
                  <m:r>
                    <m:t>D</m:t>
                  </m:r>
                </m:e>
                <m:sub>
                  <m:r>
                    <m:t>k</m:t>
                  </m:r>
                </m:sub>
              </m:sSub>
            </m:oMath>
            <w:r>
              <w:t xml:space="preserve"> </w:t>
            </w:r>
            <w:r>
              <w:t xml:space="preserve">= primeros k documentos,</w:t>
            </w:r>
            <w:r>
              <w:t xml:space="preserve"> </w:t>
            </w:r>
            <m:oMath>
              <m:r>
                <m:t>R</m:t>
              </m:r>
            </m:oMath>
            <w:r>
              <w:t xml:space="preserve"> </w:t>
            </w:r>
            <w:r>
              <w:t xml:space="preserve">= todos los documentos relevantes</w:t>
            </w:r>
          </w:p>
        </w:tc>
      </w:tr>
      <w:tr>
        <w:tc>
          <w:tcPr/>
          <w:p>
            <w:pPr>
              <w:pStyle w:val="Compact"/>
            </w:pPr>
            <w:r>
              <w:rPr>
                <w:b/>
                <w:bCs/>
              </w:rPr>
              <w:t xml:space="preserve">F1@k</w:t>
            </w:r>
          </w:p>
        </w:tc>
        <w:tc>
          <w:tcPr/>
          <w:p>
            <w:pPr>
              <w:pStyle w:val="Compact"/>
            </w:pPr>
            <m:oMath>
              <m:sSub>
                <m:e>
                  <m:r>
                    <m:t>F</m:t>
                  </m:r>
                </m:e>
                <m:sub>
                  <m:r>
                    <m:t>1</m:t>
                  </m:r>
                </m:sub>
              </m:sSub>
              <m:r>
                <m:rPr>
                  <m:sty m:val="p"/>
                </m:rPr>
                <m:t>@</m:t>
              </m:r>
              <m:r>
                <m:t>k</m:t>
              </m:r>
              <m:r>
                <m:rPr>
                  <m:sty m:val="p"/>
                </m:rPr>
                <m:t>=</m:t>
              </m:r>
              <m:r>
                <m:t>2</m:t>
              </m:r>
              <m:r>
                <m:rPr>
                  <m:sty m:val="p"/>
                </m:rPr>
                <m:t>⋅</m:t>
              </m:r>
              <m:f>
                <m:fPr>
                  <m:type m:val="bar"/>
                </m:fPr>
                <m:num>
                  <m:r>
                    <m:t>P</m:t>
                  </m:r>
                  <m:r>
                    <m:rPr>
                      <m:sty m:val="p"/>
                    </m:rPr>
                    <m:t>@</m:t>
                  </m:r>
                  <m:r>
                    <m:t>k</m:t>
                  </m:r>
                  <m:r>
                    <m:rPr>
                      <m:sty m:val="p"/>
                    </m:rPr>
                    <m:t>⋅</m:t>
                  </m:r>
                  <m:r>
                    <m:t>R</m:t>
                  </m:r>
                  <m:r>
                    <m:rPr>
                      <m:sty m:val="p"/>
                    </m:rPr>
                    <m:t>@</m:t>
                  </m:r>
                  <m:r>
                    <m:t>k</m:t>
                  </m:r>
                </m:num>
                <m:den>
                  <m:r>
                    <m:t>P</m:t>
                  </m:r>
                  <m:r>
                    <m:rPr>
                      <m:sty m:val="p"/>
                    </m:rPr>
                    <m:t>@</m:t>
                  </m:r>
                  <m:r>
                    <m:t>k</m:t>
                  </m:r>
                  <m:r>
                    <m:rPr>
                      <m:sty m:val="p"/>
                    </m:rPr>
                    <m:t>+</m:t>
                  </m:r>
                  <m:r>
                    <m:t>R</m:t>
                  </m:r>
                  <m:r>
                    <m:rPr>
                      <m:sty m:val="p"/>
                    </m:rPr>
                    <m:t>@</m:t>
                  </m:r>
                  <m:r>
                    <m:t>k</m:t>
                  </m:r>
                </m:den>
              </m:f>
            </m:oMath>
          </w:p>
        </w:tc>
        <w:tc>
          <w:tcPr/>
          <w:p>
            <w:pPr>
              <w:pStyle w:val="Compact"/>
            </w:pPr>
            <w:r>
              <w:t xml:space="preserve">Media armónica de Precision@k y Recall@k</w:t>
            </w:r>
          </w:p>
        </w:tc>
      </w:tr>
      <w:tr>
        <w:tc>
          <w:tcPr/>
          <w:p>
            <w:pPr>
              <w:pStyle w:val="Compact"/>
            </w:pPr>
            <w:r>
              <w:rPr>
                <w:b/>
                <w:bCs/>
              </w:rPr>
              <w:t xml:space="preserve">NDCG@k</w:t>
            </w:r>
          </w:p>
        </w:tc>
        <w:tc>
          <w:tcPr/>
          <w:p>
            <w:pPr>
              <w:pStyle w:val="Compact"/>
            </w:pPr>
            <m:oMath>
              <m:r>
                <m:t>N</m:t>
              </m:r>
              <m:r>
                <m:t>D</m:t>
              </m:r>
              <m:r>
                <m:t>C</m:t>
              </m:r>
              <m:r>
                <m:t>G</m:t>
              </m:r>
              <m:r>
                <m:rPr>
                  <m:sty m:val="p"/>
                </m:rPr>
                <m:t>@</m:t>
              </m:r>
              <m:r>
                <m:t>k</m:t>
              </m:r>
              <m:r>
                <m:rPr>
                  <m:sty m:val="p"/>
                </m:rPr>
                <m:t>=</m:t>
              </m:r>
              <m:f>
                <m:fPr>
                  <m:type m:val="bar"/>
                </m:fPr>
                <m:num>
                  <m:r>
                    <m:t>D</m:t>
                  </m:r>
                  <m:r>
                    <m:t>C</m:t>
                  </m:r>
                  <m:r>
                    <m:t>G</m:t>
                  </m:r>
                  <m:r>
                    <m:rPr>
                      <m:sty m:val="p"/>
                    </m:rPr>
                    <m:t>@</m:t>
                  </m:r>
                  <m:r>
                    <m:t>k</m:t>
                  </m:r>
                </m:num>
                <m:den>
                  <m:r>
                    <m:t>I</m:t>
                  </m:r>
                  <m:r>
                    <m:t>D</m:t>
                  </m:r>
                  <m:r>
                    <m:t>C</m:t>
                  </m:r>
                  <m:r>
                    <m:t>G</m:t>
                  </m:r>
                  <m:r>
                    <m:rPr>
                      <m:sty m:val="p"/>
                    </m:rPr>
                    <m:t>@</m:t>
                  </m:r>
                  <m:r>
                    <m:t>k</m:t>
                  </m:r>
                </m:den>
              </m:f>
            </m:oMath>
            <w:r>
              <w:t xml:space="preserve"> </w:t>
            </w:r>
            <w:r>
              <w:t xml:space="preserve"> </w:t>
            </w:r>
            <m:oMath>
              <m:r>
                <m:t>D</m:t>
              </m:r>
              <m:r>
                <m:t>C</m:t>
              </m:r>
              <m:r>
                <m:t>G</m:t>
              </m:r>
              <m:r>
                <m:rPr>
                  <m:sty m:val="p"/>
                </m:rPr>
                <m:t>@</m:t>
              </m:r>
              <m:r>
                <m:t>k</m:t>
              </m:r>
              <m:r>
                <m:rPr>
                  <m:sty m:val="p"/>
                </m:rPr>
                <m:t>=</m:t>
              </m:r>
              <m:nary>
                <m:naryPr>
                  <m:chr m:val="∑"/>
                  <m:limLoc m:val="undOvr"/>
                  <m:subHide m:val="off"/>
                  <m:supHide m:val="off"/>
                </m:naryPr>
                <m:sub>
                  <m:r>
                    <m:t>i</m:t>
                  </m:r>
                  <m:r>
                    <m:rPr>
                      <m:sty m:val="p"/>
                    </m:rPr>
                    <m:t>=</m:t>
                  </m:r>
                  <m:r>
                    <m:t>1</m:t>
                  </m:r>
                </m:sub>
                <m:sup>
                  <m:r>
                    <m:t>k</m:t>
                  </m:r>
                </m:sup>
                <m:e>
                  <m:f>
                    <m:fPr>
                      <m:type m:val="bar"/>
                    </m:fPr>
                    <m:num>
                      <m:r>
                        <m:t>r</m:t>
                      </m:r>
                      <m:r>
                        <m:t>e</m:t>
                      </m:r>
                      <m:sSub>
                        <m:e>
                          <m:r>
                            <m:t>l</m:t>
                          </m:r>
                        </m:e>
                        <m:sub>
                          <m:r>
                            <m:t>i</m:t>
                          </m:r>
                        </m:sub>
                      </m:sSub>
                    </m:num>
                    <m:den>
                      <m:sSub>
                        <m:e>
                          <m:r>
                            <m:rPr>
                              <m:sty m:val="p"/>
                            </m:rPr>
                            <m:t>log</m:t>
                          </m:r>
                        </m:e>
                        <m:sub>
                          <m:r>
                            <m:t>2</m:t>
                          </m:r>
                        </m:sub>
                      </m:sSub>
                      <m:r>
                        <m:rPr>
                          <m:sty m:val="p"/>
                        </m:rPr>
                        <m:t>(</m:t>
                      </m:r>
                      <m:r>
                        <m:t>i</m:t>
                      </m:r>
                      <m:r>
                        <m:rPr>
                          <m:sty m:val="p"/>
                        </m:rPr>
                        <m:t>+</m:t>
                      </m:r>
                      <m:r>
                        <m:t>1</m:t>
                      </m:r>
                      <m:r>
                        <m:rPr>
                          <m:sty m:val="p"/>
                        </m:rPr>
                        <m:t>)</m:t>
                      </m:r>
                    </m:den>
                  </m:f>
                </m:e>
              </m:nary>
            </m:oMath>
          </w:p>
        </w:tc>
        <w:tc>
          <w:tcPr/>
          <w:p>
            <w:pPr>
              <w:pStyle w:val="Compact"/>
            </w:pPr>
            <m:oMath>
              <m:r>
                <m:t>r</m:t>
              </m:r>
              <m:r>
                <m:t>e</m:t>
              </m:r>
              <m:sSub>
                <m:e>
                  <m:r>
                    <m:t>l</m:t>
                  </m:r>
                </m:e>
                <m:sub>
                  <m:r>
                    <m:t>i</m:t>
                  </m:r>
                </m:sub>
              </m:sSub>
            </m:oMath>
            <w:r>
              <w:t xml:space="preserve"> </w:t>
            </w:r>
            <w:r>
              <w:t xml:space="preserve">= relevancia del documento en posición</w:t>
            </w:r>
            <w:r>
              <w:t xml:space="preserve"> </w:t>
            </w:r>
            <m:oMath>
              <m:r>
                <m:t>i</m:t>
              </m:r>
            </m:oMath>
            <w:r>
              <w:t xml:space="preserve">,</w:t>
            </w:r>
            <w:r>
              <w:t xml:space="preserve"> </w:t>
            </w:r>
            <m:oMath>
              <m:r>
                <m:t>I</m:t>
              </m:r>
              <m:r>
                <m:t>D</m:t>
              </m:r>
              <m:r>
                <m:t>C</m:t>
              </m:r>
              <m:r>
                <m:t>G</m:t>
              </m:r>
              <m:r>
                <m:rPr>
                  <m:sty m:val="p"/>
                </m:rPr>
                <m:t>@</m:t>
              </m:r>
              <m:r>
                <m:t>k</m:t>
              </m:r>
            </m:oMath>
            <w:r>
              <w:t xml:space="preserve"> </w:t>
            </w:r>
            <w:r>
              <w:t xml:space="preserve">= DCG ideal hasta posición k</w:t>
            </w:r>
          </w:p>
        </w:tc>
      </w:tr>
      <w:tr>
        <w:tc>
          <w:tcPr/>
          <w:p>
            <w:pPr>
              <w:pStyle w:val="Compact"/>
            </w:pPr>
            <w:r>
              <w:rPr>
                <w:b/>
                <w:bCs/>
              </w:rPr>
              <w:t xml:space="preserve">MAP@k</w:t>
            </w:r>
          </w:p>
        </w:tc>
        <w:tc>
          <w:tcPr/>
          <w:p>
            <w:pPr>
              <w:pStyle w:val="Compact"/>
            </w:pPr>
            <m:oMath>
              <m:r>
                <m:t>M</m:t>
              </m:r>
              <m:r>
                <m:t>A</m:t>
              </m:r>
              <m:r>
                <m:t>P</m:t>
              </m:r>
              <m:r>
                <m:rPr>
                  <m:sty m:val="p"/>
                </m:rPr>
                <m:t>@</m:t>
              </m:r>
              <m:r>
                <m:t>k</m:t>
              </m:r>
              <m:r>
                <m:rPr>
                  <m:sty m:val="p"/>
                </m:rPr>
                <m:t>=</m:t>
              </m:r>
              <m:f>
                <m:fPr>
                  <m:type m:val="bar"/>
                </m:fPr>
                <m:num>
                  <m:r>
                    <m:t>1</m:t>
                  </m:r>
                </m:num>
                <m:den>
                  <m:r>
                    <m:rPr>
                      <m:sty m:val="p"/>
                    </m:rPr>
                    <m:t>∥</m:t>
                  </m:r>
                  <m:r>
                    <m:t>Q</m:t>
                  </m:r>
                  <m:r>
                    <m:rPr>
                      <m:sty m:val="p"/>
                    </m:rPr>
                    <m:t>∥</m:t>
                  </m:r>
                </m:den>
              </m:f>
              <m:nary>
                <m:naryPr>
                  <m:chr m:val="∑"/>
                  <m:limLoc m:val="undOvr"/>
                  <m:subHide m:val="off"/>
                  <m:supHide m:val="off"/>
                </m:naryPr>
                <m:sub>
                  <m:r>
                    <m:t>q</m:t>
                  </m:r>
                  <m:r>
                    <m:rPr>
                      <m:sty m:val="p"/>
                    </m:rPr>
                    <m:t>=</m:t>
                  </m:r>
                  <m:r>
                    <m:t>1</m:t>
                  </m:r>
                </m:sub>
                <m:sup>
                  <m:r>
                    <m:rPr>
                      <m:sty m:val="p"/>
                    </m:rPr>
                    <m:t>∥</m:t>
                  </m:r>
                  <m:r>
                    <m:t>Q</m:t>
                  </m:r>
                  <m:r>
                    <m:rPr>
                      <m:sty m:val="p"/>
                    </m:rPr>
                    <m:t>∥</m:t>
                  </m:r>
                </m:sup>
                <m:e>
                  <m:r>
                    <m:t>A</m:t>
                  </m:r>
                </m:e>
              </m:nary>
              <m:r>
                <m:t>P</m:t>
              </m:r>
              <m:r>
                <m:rPr>
                  <m:sty m:val="p"/>
                </m:rPr>
                <m:t>@</m:t>
              </m:r>
              <m:r>
                <m:t>k</m:t>
              </m:r>
              <m:r>
                <m:rPr>
                  <m:sty m:val="p"/>
                </m:rPr>
                <m:t>(</m:t>
              </m:r>
              <m:r>
                <m:t>q</m:t>
              </m:r>
              <m:r>
                <m:rPr>
                  <m:sty m:val="p"/>
                </m:rPr>
                <m:t>)</m:t>
              </m:r>
            </m:oMath>
            <w:r>
              <w:t xml:space="preserve"> </w:t>
            </w:r>
            <w:r>
              <w:t xml:space="preserve"> </w:t>
            </w:r>
            <m:oMath>
              <m:r>
                <m:t>A</m:t>
              </m:r>
              <m:r>
                <m:t>P</m:t>
              </m:r>
              <m:r>
                <m:rPr>
                  <m:sty m:val="p"/>
                </m:rPr>
                <m:t>@</m:t>
              </m:r>
              <m:r>
                <m:t>k</m:t>
              </m:r>
              <m:r>
                <m:rPr>
                  <m:sty m:val="p"/>
                </m:rPr>
                <m:t>(</m:t>
              </m:r>
              <m:r>
                <m:t>q</m:t>
              </m:r>
              <m:r>
                <m:rPr>
                  <m:sty m:val="p"/>
                </m:rPr>
                <m:t>)</m:t>
              </m:r>
              <m:r>
                <m:rPr>
                  <m:sty m:val="p"/>
                </m:rPr>
                <m:t>=</m:t>
              </m:r>
              <m:f>
                <m:fPr>
                  <m:type m:val="bar"/>
                </m:fPr>
                <m:num>
                  <m:r>
                    <m:t>1</m:t>
                  </m:r>
                </m:num>
                <m:den>
                  <m:r>
                    <m:rPr>
                      <m:sty m:val="p"/>
                    </m:rPr>
                    <m:t>min</m:t>
                  </m:r>
                  <m:r>
                    <m:rPr>
                      <m:sty m:val="p"/>
                    </m:rPr>
                    <m:t>(</m:t>
                  </m:r>
                  <m:r>
                    <m:t>k</m:t>
                  </m:r>
                  <m:r>
                    <m:rPr>
                      <m:sty m:val="p"/>
                    </m:rPr>
                    <m:t>,</m:t>
                  </m:r>
                  <m:r>
                    <m:rPr>
                      <m:sty m:val="p"/>
                    </m:rPr>
                    <m:t>∥</m:t>
                  </m:r>
                  <m:sSub>
                    <m:e>
                      <m:r>
                        <m:t>R</m:t>
                      </m:r>
                    </m:e>
                    <m:sub>
                      <m:r>
                        <m:t>q</m:t>
                      </m:r>
                    </m:sub>
                  </m:sSub>
                  <m:r>
                    <m:rPr>
                      <m:sty m:val="p"/>
                    </m:rPr>
                    <m:t>∥</m:t>
                  </m:r>
                  <m:r>
                    <m:rPr>
                      <m:sty m:val="p"/>
                    </m:rPr>
                    <m:t>)</m:t>
                  </m:r>
                </m:den>
              </m:f>
              <m:nary>
                <m:naryPr>
                  <m:chr m:val="∑"/>
                  <m:limLoc m:val="undOvr"/>
                  <m:subHide m:val="off"/>
                  <m:supHide m:val="off"/>
                </m:naryPr>
                <m:sub>
                  <m:r>
                    <m:t>i</m:t>
                  </m:r>
                  <m:r>
                    <m:rPr>
                      <m:sty m:val="p"/>
                    </m:rPr>
                    <m:t>=</m:t>
                  </m:r>
                  <m:r>
                    <m:t>1</m:t>
                  </m:r>
                </m:sub>
                <m:sup>
                  <m:r>
                    <m:t>k</m:t>
                  </m:r>
                </m:sup>
                <m:e>
                  <m:r>
                    <m:t>P</m:t>
                  </m:r>
                </m:e>
              </m:nary>
              <m:r>
                <m:rPr>
                  <m:sty m:val="p"/>
                </m:rPr>
                <m:t>(</m:t>
              </m:r>
              <m:r>
                <m:t>i</m:t>
              </m:r>
              <m:r>
                <m:rPr>
                  <m:sty m:val="p"/>
                </m:rPr>
                <m:t>)</m:t>
              </m:r>
              <m:r>
                <m:rPr>
                  <m:sty m:val="p"/>
                </m:rPr>
                <m:t>⋅</m:t>
              </m:r>
              <m:r>
                <m:t>r</m:t>
              </m:r>
              <m:r>
                <m:t>e</m:t>
              </m:r>
              <m:r>
                <m:t>l</m:t>
              </m:r>
              <m:r>
                <m:rPr>
                  <m:sty m:val="p"/>
                </m:rPr>
                <m:t>(</m:t>
              </m:r>
              <m:r>
                <m:t>i</m:t>
              </m:r>
              <m:r>
                <m:rPr>
                  <m:sty m:val="p"/>
                </m:rPr>
                <m:t>)</m:t>
              </m:r>
            </m:oMath>
          </w:p>
        </w:tc>
        <w:tc>
          <w:tcPr/>
          <w:p>
            <w:pPr>
              <w:pStyle w:val="Compact"/>
            </w:pPr>
            <w:r>
              <w:t xml:space="preserve">Average Precision calculado solo hasta los primeros k documentos</w:t>
            </w:r>
          </w:p>
        </w:tc>
      </w:tr>
    </w:tbl>
    <w:bookmarkEnd w:id="24"/>
    <w:bookmarkStart w:id="25" w:name="métricas-específicas-para-sistemas-rag"/>
    <w:p>
      <w:pPr>
        <w:pStyle w:val="Heading3"/>
      </w:pPr>
      <w:r>
        <w:t xml:space="preserve">2.6.2 Métricas Específicas para Sistemas RAG</w:t>
      </w:r>
    </w:p>
    <w:p>
      <w:pPr>
        <w:pStyle w:val="FirstParagraph"/>
      </w:pPr>
      <w:r>
        <w:t xml:space="preserve">Las arquitecturas RAG requieren métricas especializadas que evalúen no solo la recuperación sino también la calidad de la generación y la coherencia entre ambas fases.</w:t>
      </w:r>
      <w:r>
        <w:t xml:space="preserve"> </w:t>
      </w:r>
      <w:r>
        <w:rPr>
          <w:b/>
          <w:bCs/>
        </w:rPr>
        <w:t xml:space="preserve">Answer Relevancy</w:t>
      </w:r>
      <w:r>
        <w:t xml:space="preserve"> </w:t>
      </w:r>
      <w:r>
        <w:t xml:space="preserve">mide qué tan bien la respuesta generada aborda la pregunta formulada, evaluando la alineación semántica entre consulta y respuesta (Es et al., 2023).</w:t>
      </w:r>
      <w:r>
        <w:t xml:space="preserve"> </w:t>
      </w:r>
      <w:r>
        <w:rPr>
          <w:b/>
          <w:bCs/>
        </w:rPr>
        <w:t xml:space="preserve">Context Precision</w:t>
      </w:r>
      <w:r>
        <w:t xml:space="preserve"> </w:t>
      </w:r>
      <w:r>
        <w:t xml:space="preserve">evalúa qué proporción del contexto recuperado es realmente relevante para responder la pregunta, identificando ruido en la fase de recuperación.</w:t>
      </w:r>
      <w:r>
        <w:t xml:space="preserve"> </w:t>
      </w:r>
      <w:r>
        <w:rPr>
          <w:b/>
          <w:bCs/>
        </w:rPr>
        <w:t xml:space="preserve">Context Recall</w:t>
      </w:r>
      <w:r>
        <w:t xml:space="preserve"> </w:t>
      </w:r>
      <w:r>
        <w:t xml:space="preserve">mide si toda la información necesaria para responder está presente en el contexto recuperado.</w:t>
      </w:r>
      <w:r>
        <w:t xml:space="preserve"> </w:t>
      </w:r>
      <w:r>
        <w:rPr>
          <w:b/>
          <w:bCs/>
        </w:rPr>
        <w:t xml:space="preserve">Faithfulness</w:t>
      </w:r>
      <w:r>
        <w:t xml:space="preserve"> </w:t>
      </w:r>
      <w:r>
        <w:t xml:space="preserve">evalúa si la respuesta generada es factualmente consistente con el contexto proporcionado, detectando alucinaciones o inconsistencias.</w:t>
      </w:r>
    </w:p>
    <w:p>
      <w:pPr>
        <w:pStyle w:val="BodyText"/>
      </w:pPr>
      <w:r>
        <w:t xml:space="preserve">Las fórmulas matemáticas de estas métricas RAG se presentan en la Tabla 2.2:</w:t>
      </w:r>
    </w:p>
    <w:p>
      <w:pPr>
        <w:pStyle w:val="BodyText"/>
      </w:pPr>
      <w:r>
        <w:rPr>
          <w:b/>
          <w:bCs/>
        </w:rPr>
        <w:t xml:space="preserve">Tabla 2.2: Fórmulas de Métricas Específicas para Sistemas RAG</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Answer Relevancy</w:t>
            </w:r>
          </w:p>
        </w:tc>
        <w:tc>
          <w:tcPr/>
          <w:p>
            <w:pPr>
              <w:pStyle w:val="Compact"/>
            </w:pPr>
            <m:oMath>
              <m:r>
                <m:t>A</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sim</m:t>
                  </m:r>
                </m:e>
              </m:nary>
              <m:r>
                <m:rPr>
                  <m:sty m:val="p"/>
                </m:rPr>
                <m:t>(</m:t>
              </m:r>
              <m:r>
                <m:t>q</m:t>
              </m:r>
              <m:r>
                <m:rPr>
                  <m:sty m:val="p"/>
                </m:rPr>
                <m:t>,</m:t>
              </m:r>
              <m:sSub>
                <m:e>
                  <m:r>
                    <m:t>g</m:t>
                  </m:r>
                </m:e>
                <m:sub>
                  <m:r>
                    <m:t>i</m:t>
                  </m:r>
                </m:sub>
              </m:sSub>
              <m:r>
                <m:rPr>
                  <m:sty m:val="p"/>
                </m:rPr>
                <m:t>)</m:t>
              </m:r>
            </m:oMath>
          </w:p>
        </w:tc>
        <w:tc>
          <w:tcPr/>
          <w:p>
            <w:pPr>
              <w:pStyle w:val="Compact"/>
            </w:pPr>
            <m:oMath>
              <m:r>
                <m:t>q</m:t>
              </m:r>
            </m:oMath>
            <w:r>
              <w:t xml:space="preserve"> </w:t>
            </w:r>
            <w:r>
              <w:t xml:space="preserve">= pregunta original,</w:t>
            </w:r>
            <w:r>
              <w:t xml:space="preserve"> </w:t>
            </w:r>
            <m:oMath>
              <m:sSub>
                <m:e>
                  <m:r>
                    <m:t>g</m:t>
                  </m:r>
                </m:e>
                <m:sub>
                  <m:r>
                    <m:t>i</m:t>
                  </m:r>
                </m:sub>
              </m:sSub>
            </m:oMath>
            <w:r>
              <w:t xml:space="preserve"> </w:t>
            </w:r>
            <w:r>
              <w:t xml:space="preserve">= pregunta generada a partir de la respuesta,</w:t>
            </w:r>
            <w:r>
              <w:t xml:space="preserve"> </w:t>
            </w:r>
            <m:oMath>
              <m:r>
                <m:t>N</m:t>
              </m:r>
            </m:oMath>
            <w:r>
              <w:t xml:space="preserve"> </w:t>
            </w:r>
            <w:r>
              <w:t xml:space="preserve">= número de preguntas generadas,</w:t>
            </w:r>
            <w:r>
              <w:t xml:space="preserve"> </w:t>
            </w:r>
            <m:oMath>
              <m:r>
                <m:rPr>
                  <m:nor/>
                  <m:sty m:val="p"/>
                </m:rPr>
                <m:t>sim</m:t>
              </m:r>
            </m:oMath>
            <w:r>
              <w:t xml:space="preserve"> </w:t>
            </w:r>
            <w:r>
              <w:t xml:space="preserve">= similitud coseno</w:t>
            </w:r>
          </w:p>
        </w:tc>
      </w:tr>
      <w:tr>
        <w:tc>
          <w:tcPr/>
          <w:p>
            <w:pPr>
              <w:pStyle w:val="Compact"/>
            </w:pPr>
            <w:r>
              <w:rPr>
                <w:b/>
                <w:bCs/>
              </w:rPr>
              <w:t xml:space="preserve">Context Precision</w:t>
            </w:r>
          </w:p>
        </w:tc>
        <w:tc>
          <w:tcPr/>
          <w:p>
            <w:pPr>
              <w:pStyle w:val="Compact"/>
            </w:pPr>
            <m:oMath>
              <m:r>
                <m:t>C</m:t>
              </m:r>
              <m:r>
                <m:t>P</m:t>
              </m:r>
              <m:r>
                <m:rPr>
                  <m:sty m:val="p"/>
                </m:rPr>
                <m:t>@</m:t>
              </m:r>
              <m:r>
                <m:t>k</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cr m:val="double-struck"/>
                      <m:sty m:val="p"/>
                    </m:rPr>
                    <m:t>1</m:t>
                  </m:r>
                </m:e>
              </m:nary>
              <m:r>
                <m:rPr>
                  <m:sty m:val="p"/>
                </m:rPr>
                <m:t>[</m:t>
              </m:r>
              <m:r>
                <m:rPr>
                  <m:nor/>
                  <m:sty m:val="p"/>
                </m:rPr>
                <m:t>relevant</m:t>
              </m:r>
              <m:r>
                <m:rPr>
                  <m:sty m:val="p"/>
                </m:rPr>
                <m:t>(</m:t>
              </m:r>
              <m:sSub>
                <m:e>
                  <m:r>
                    <m:t>c</m:t>
                  </m:r>
                </m:e>
                <m:sub>
                  <m:r>
                    <m:t>i</m:t>
                  </m:r>
                </m:sub>
              </m:sSub>
              <m:r>
                <m:rPr>
                  <m:sty m:val="p"/>
                </m:rPr>
                <m:t>)</m:t>
              </m:r>
              <m:r>
                <m:rPr>
                  <m:sty m:val="p"/>
                </m:rPr>
                <m:t>]</m:t>
              </m:r>
            </m:oMath>
          </w:p>
        </w:tc>
        <w:tc>
          <w:tcPr/>
          <w:p>
            <w:pPr>
              <w:pStyle w:val="Compact"/>
            </w:pPr>
            <m:oMath>
              <m:sSub>
                <m:e>
                  <m:r>
                    <m:t>c</m:t>
                  </m:r>
                </m:e>
                <m:sub>
                  <m:r>
                    <m:t>i</m:t>
                  </m:r>
                </m:sub>
              </m:sSub>
            </m:oMath>
            <w:r>
              <w:t xml:space="preserve"> </w:t>
            </w:r>
            <w:r>
              <w:t xml:space="preserve">= contexto en posición</w:t>
            </w:r>
            <w:r>
              <w:t xml:space="preserve"> </w:t>
            </w:r>
            <m:oMath>
              <m:r>
                <m:t>i</m:t>
              </m:r>
            </m:oMath>
            <w:r>
              <w:t xml:space="preserve">,</w:t>
            </w:r>
            <w:r>
              <w:t xml:space="preserve"> </w:t>
            </w:r>
            <m:oMath>
              <m:r>
                <m:rPr>
                  <m:scr m:val="double-struck"/>
                  <m:sty m:val="p"/>
                </m:rPr>
                <m:t>1</m:t>
              </m:r>
              <m:r>
                <m:rPr>
                  <m:sty m:val="p"/>
                </m:rPr>
                <m:t>[</m:t>
              </m:r>
              <m:r>
                <m:rPr>
                  <m:sty m:val="p"/>
                </m:rPr>
                <m:t>⋅</m:t>
              </m:r>
              <m:r>
                <m:rPr>
                  <m:sty m:val="p"/>
                </m:rPr>
                <m:t>]</m:t>
              </m:r>
            </m:oMath>
            <w:r>
              <w:t xml:space="preserve"> </w:t>
            </w:r>
            <w:r>
              <w:t xml:space="preserve">= función indicadora,</w:t>
            </w:r>
            <w:r>
              <w:t xml:space="preserve"> </w:t>
            </w:r>
            <m:oMath>
              <m:r>
                <m:t>k</m:t>
              </m:r>
            </m:oMath>
            <w:r>
              <w:t xml:space="preserve"> </w:t>
            </w:r>
            <w:r>
              <w:t xml:space="preserve">= número de contextos</w:t>
            </w:r>
          </w:p>
        </w:tc>
      </w:tr>
      <w:tr>
        <w:tc>
          <w:tcPr/>
          <w:p>
            <w:pPr>
              <w:pStyle w:val="Compact"/>
            </w:pPr>
            <w:r>
              <w:rPr>
                <w:b/>
                <w:bCs/>
              </w:rPr>
              <w:t xml:space="preserve">Context Recall</w:t>
            </w:r>
          </w:p>
        </w:tc>
        <w:tc>
          <w:tcPr/>
          <w:p>
            <w:pPr>
              <w:pStyle w:val="Compact"/>
            </w:pPr>
            <m:oMath>
              <m:r>
                <m:t>C</m:t>
              </m:r>
              <m:r>
                <m:t>R</m:t>
              </m:r>
              <m:r>
                <m:rPr>
                  <m:sty m:val="p"/>
                </m:rPr>
                <m:t>=</m:t>
              </m:r>
              <m:f>
                <m:fPr>
                  <m:type m:val="bar"/>
                </m:fPr>
                <m:num>
                  <m:r>
                    <m:rPr>
                      <m:sty m:val="p"/>
                    </m:rPr>
                    <m:t>∥</m:t>
                  </m:r>
                  <m:sSub>
                    <m:e>
                      <m:r>
                        <m:rPr>
                          <m:nor/>
                          <m:sty m:val="p"/>
                        </m:rPr>
                        <m:t>Sentences</m:t>
                      </m:r>
                    </m:e>
                    <m:sub>
                      <m:r>
                        <m:rPr>
                          <m:nor/>
                          <m:sty m:val="p"/>
                        </m:rPr>
                        <m:t>attributed</m:t>
                      </m:r>
                    </m:sub>
                  </m:sSub>
                  <m:r>
                    <m:rPr>
                      <m:sty m:val="p"/>
                    </m:rPr>
                    <m:t>∥</m:t>
                  </m:r>
                </m:num>
                <m:den>
                  <m:r>
                    <m:rPr>
                      <m:sty m:val="p"/>
                    </m:rPr>
                    <m:t>∥</m:t>
                  </m:r>
                  <m:sSub>
                    <m:e>
                      <m:r>
                        <m:rPr>
                          <m:nor/>
                          <m:sty m:val="p"/>
                        </m:rPr>
                        <m:t>Sentences</m:t>
                      </m:r>
                    </m:e>
                    <m:sub>
                      <m:r>
                        <m:rPr>
                          <m:nor/>
                          <m:sty m:val="p"/>
                        </m:rPr>
                        <m:t>ground_truth</m:t>
                      </m:r>
                    </m:sub>
                  </m:sSub>
                  <m:r>
                    <m:rPr>
                      <m:sty m:val="p"/>
                    </m:rPr>
                    <m:t>∥</m:t>
                  </m:r>
                </m:den>
              </m:f>
            </m:oMath>
          </w:p>
        </w:tc>
        <w:tc>
          <w:tcPr/>
          <w:p>
            <w:pPr>
              <w:pStyle w:val="Compact"/>
            </w:pPr>
            <w:r>
              <w:t xml:space="preserve">Proporción de oraciones del ground truth que pueden ser atribuidas al contexto recuperado</w:t>
            </w:r>
          </w:p>
        </w:tc>
      </w:tr>
      <w:tr>
        <w:tc>
          <w:tcPr/>
          <w:p>
            <w:pPr>
              <w:pStyle w:val="Compact"/>
            </w:pPr>
            <w:r>
              <w:rPr>
                <w:b/>
                <w:bCs/>
              </w:rPr>
              <w:t xml:space="preserve">Faithfulness</w:t>
            </w:r>
          </w:p>
        </w:tc>
        <w:tc>
          <w:tcPr/>
          <w:p>
            <w:pPr>
              <w:pStyle w:val="Compact"/>
            </w:pPr>
            <m:oMath>
              <m:r>
                <m:t>F</m:t>
              </m:r>
              <m:r>
                <m:rPr>
                  <m:sty m:val="p"/>
                </m:rPr>
                <m:t>=</m:t>
              </m:r>
              <m:f>
                <m:fPr>
                  <m:type m:val="bar"/>
                </m:fPr>
                <m:num>
                  <m:r>
                    <m:rPr>
                      <m:sty m:val="p"/>
                    </m:rPr>
                    <m:t>∥</m:t>
                  </m:r>
                  <m:sSub>
                    <m:e>
                      <m:r>
                        <m:rPr>
                          <m:nor/>
                          <m:sty m:val="p"/>
                        </m:rPr>
                        <m:t>Claims</m:t>
                      </m:r>
                    </m:e>
                    <m:sub>
                      <m:r>
                        <m:rPr>
                          <m:nor/>
                          <m:sty m:val="p"/>
                        </m:rPr>
                        <m:t>supported</m:t>
                      </m:r>
                    </m:sub>
                  </m:sSub>
                  <m:r>
                    <m:rPr>
                      <m:sty m:val="p"/>
                    </m:rPr>
                    <m:t>∥</m:t>
                  </m:r>
                </m:num>
                <m:den>
                  <m:r>
                    <m:rPr>
                      <m:sty m:val="p"/>
                    </m:rPr>
                    <m:t>∥</m:t>
                  </m:r>
                  <m:sSub>
                    <m:e>
                      <m:r>
                        <m:rPr>
                          <m:nor/>
                          <m:sty m:val="p"/>
                        </m:rPr>
                        <m:t>Claims</m:t>
                      </m:r>
                    </m:e>
                    <m:sub>
                      <m:r>
                        <m:rPr>
                          <m:nor/>
                          <m:sty m:val="p"/>
                        </m:rPr>
                        <m:t>total</m:t>
                      </m:r>
                    </m:sub>
                  </m:sSub>
                  <m:r>
                    <m:rPr>
                      <m:sty m:val="p"/>
                    </m:rPr>
                    <m:t>∥</m:t>
                  </m:r>
                </m:den>
              </m:f>
            </m:oMath>
          </w:p>
        </w:tc>
        <w:tc>
          <w:tcPr/>
          <w:p>
            <w:pPr>
              <w:pStyle w:val="Compact"/>
            </w:pPr>
            <w:r>
              <w:t xml:space="preserve">Proporción de afirmaciones en la respuesta que están soportadas por el contexto</w:t>
            </w:r>
          </w:p>
        </w:tc>
      </w:tr>
      <w:tr>
        <w:tc>
          <w:tcPr/>
          <w:p>
            <w:pPr>
              <w:pStyle w:val="Compact"/>
            </w:pPr>
            <w:r>
              <w:rPr>
                <w:b/>
                <w:bCs/>
              </w:rPr>
              <w:t xml:space="preserve">Answer Correctness</w:t>
            </w:r>
          </w:p>
        </w:tc>
        <w:tc>
          <w:tcPr/>
          <w:p>
            <w:pPr>
              <w:pStyle w:val="Compact"/>
            </w:pPr>
            <m:oMath>
              <m:r>
                <m:t>A</m:t>
              </m:r>
              <m:r>
                <m:t>C</m:t>
              </m:r>
              <m:r>
                <m:rPr>
                  <m:sty m:val="p"/>
                </m:rPr>
                <m:t>=</m:t>
              </m:r>
              <m:sSub>
                <m:e>
                  <m:r>
                    <m:t>w</m:t>
                  </m:r>
                </m:e>
                <m:sub>
                  <m:r>
                    <m:t>s</m:t>
                  </m:r>
                </m:sub>
              </m:sSub>
              <m:r>
                <m:rPr>
                  <m:sty m:val="p"/>
                </m:rPr>
                <m:t>⋅</m:t>
              </m:r>
              <m:r>
                <m:t>S</m:t>
              </m:r>
              <m:r>
                <m:rPr>
                  <m:sty m:val="p"/>
                </m:rPr>
                <m:t>+</m:t>
              </m:r>
              <m:sSub>
                <m:e>
                  <m:r>
                    <m:t>w</m:t>
                  </m:r>
                </m:e>
                <m:sub>
                  <m:r>
                    <m:t>f</m:t>
                  </m:r>
                </m:sub>
              </m:sSub>
              <m:r>
                <m:rPr>
                  <m:sty m:val="p"/>
                </m:rPr>
                <m:t>⋅</m:t>
              </m:r>
              <m:r>
                <m:t>F</m:t>
              </m:r>
            </m:oMath>
          </w:p>
        </w:tc>
        <w:tc>
          <w:tcPr/>
          <w:p>
            <w:pPr>
              <w:pStyle w:val="Compact"/>
            </w:pPr>
            <m:oMath>
              <m:r>
                <m:t>S</m:t>
              </m:r>
            </m:oMath>
            <w:r>
              <w:t xml:space="preserve"> </w:t>
            </w:r>
            <w:r>
              <w:t xml:space="preserve">= similitud semántica,</w:t>
            </w:r>
            <w:r>
              <w:t xml:space="preserve"> </w:t>
            </w:r>
            <m:oMath>
              <m:r>
                <m:t>F</m:t>
              </m:r>
            </m:oMath>
            <w:r>
              <w:t xml:space="preserve"> </w:t>
            </w:r>
            <w:r>
              <w:t xml:space="preserve">= similitud factual,</w:t>
            </w:r>
            <w:r>
              <w:t xml:space="preserve"> </w:t>
            </w:r>
            <m:oMath>
              <m:sSub>
                <m:e>
                  <m:r>
                    <m:t>w</m:t>
                  </m:r>
                </m:e>
                <m:sub>
                  <m:r>
                    <m:t>s</m:t>
                  </m:r>
                </m:sub>
              </m:sSub>
              <m:r>
                <m:rPr>
                  <m:sty m:val="p"/>
                </m:rPr>
                <m:t>,</m:t>
              </m:r>
              <m:sSub>
                <m:e>
                  <m:r>
                    <m:t>w</m:t>
                  </m:r>
                </m:e>
                <m:sub>
                  <m:r>
                    <m:t>f</m:t>
                  </m:r>
                </m:sub>
              </m:sSub>
            </m:oMath>
            <w:r>
              <w:t xml:space="preserve"> </w:t>
            </w:r>
            <w:r>
              <w:t xml:space="preserve">= pesos (típicamente 0.5 cada uno)</w:t>
            </w:r>
          </w:p>
        </w:tc>
      </w:tr>
    </w:tbl>
    <w:bookmarkEnd w:id="25"/>
    <w:bookmarkStart w:id="26" w:name="X89c8e7f4e8547e5a4abca132458613178da871a"/>
    <w:p>
      <w:pPr>
        <w:pStyle w:val="Heading3"/>
      </w:pPr>
      <w:r>
        <w:t xml:space="preserve">2.6.3 Métricas de Similitud Semántica y Aplicación al Proyecto</w:t>
      </w:r>
    </w:p>
    <w:p>
      <w:pPr>
        <w:pStyle w:val="FirstParagraph"/>
      </w:pPr>
      <w:r>
        <w:rPr>
          <w:b/>
          <w:bCs/>
        </w:rPr>
        <w:t xml:space="preserve">BERTScore</w:t>
      </w:r>
      <w:r>
        <w:t xml:space="preserve"> </w:t>
      </w:r>
      <w:r>
        <w:t xml:space="preserve">utiliza representaciones contextuales de BERT para evaluar la similitud semántica entre respuestas generadas y respuestas de referencia, proporcionando una evaluación más matizada que métricas basadas en coincidencia léxica como BLEU o ROUGE (Zhang et al., 2019). En este proyecto se implementó BERTScore utilizando el modelo</w:t>
      </w:r>
      <w:r>
        <w:t xml:space="preserve"> </w:t>
      </w:r>
      <w:r>
        <w:rPr>
          <w:rStyle w:val="VerbatimChar"/>
        </w:rPr>
        <w:t xml:space="preserve">distiluse-base-multilingual-cased-v2</w:t>
      </w:r>
      <w:r>
        <w:t xml:space="preserve">, optimizado para evaluación de similitud semántica cross-lingual, aunque se aplicó a contenido en inglés para mantener consistencia con el corpus de documentación técnica.</w:t>
      </w:r>
    </w:p>
    <w:p>
      <w:pPr>
        <w:pStyle w:val="BodyText"/>
      </w:pPr>
      <w:r>
        <w:t xml:space="preserve">Las fórmulas matemáticas de estas métricas de similitud semántica se presentan en la Tabla 2.3:</w:t>
      </w:r>
    </w:p>
    <w:p>
      <w:pPr>
        <w:pStyle w:val="BodyText"/>
      </w:pPr>
      <w:r>
        <w:rPr>
          <w:b/>
          <w:bCs/>
        </w:rPr>
        <w:t xml:space="preserve">Tabla 2.3: Fórmulas de Métricas de Similitud Semántica</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Similitud Coseno</w:t>
            </w:r>
          </w:p>
        </w:tc>
        <w:tc>
          <w:tcPr/>
          <w:p>
            <w:pPr>
              <w:pStyle w:val="Compact"/>
            </w:pPr>
            <m:oMath>
              <m:r>
                <m:rPr>
                  <m:nor/>
                  <m:sty m:val="p"/>
                </m:rPr>
                <m:t>sim</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m:t>
                  </m:r>
                  <m:r>
                    <m:t>a</m:t>
                  </m:r>
                  <m:r>
                    <m:rPr>
                      <m:sty m:val="p"/>
                    </m:rPr>
                    <m:t>∥</m:t>
                  </m:r>
                  <m:r>
                    <m:rPr>
                      <m:sty m:val="p"/>
                    </m:rPr>
                    <m:t>∥</m:t>
                  </m:r>
                  <m:r>
                    <m:t>b</m:t>
                  </m:r>
                  <m:r>
                    <m:rPr>
                      <m:sty m:val="p"/>
                    </m:rPr>
                    <m:t>∥</m:t>
                  </m:r>
                </m:den>
              </m:f>
              <m:r>
                <m:rPr>
                  <m:sty m:val="p"/>
                </m:rPr>
                <m:t>=</m:t>
              </m:r>
              <m:f>
                <m:fPr>
                  <m:type m:val="bar"/>
                </m:fPr>
                <m:num>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num>
                <m:den>
                  <m:rad>
                    <m:radPr>
                      <m:degHide m:val="on"/>
                    </m:radPr>
                    <m:deg/>
                    <m:e>
                      <m:nary>
                        <m:naryPr>
                          <m:chr m:val="∑"/>
                          <m:limLoc m:val="undOvr"/>
                          <m:subHide m:val="off"/>
                          <m:supHide m:val="off"/>
                        </m:naryPr>
                        <m:sub>
                          <m:r>
                            <m:t>i</m:t>
                          </m:r>
                          <m:r>
                            <m:rPr>
                              <m:sty m:val="p"/>
                            </m:rPr>
                            <m:t>=</m:t>
                          </m:r>
                          <m:r>
                            <m:t>1</m:t>
                          </m:r>
                        </m:sub>
                        <m:sup>
                          <m:r>
                            <m:t>n</m:t>
                          </m:r>
                        </m:sup>
                        <m:e>
                          <m:sSubSup>
                            <m:e>
                              <m:r>
                                <m:t>a</m:t>
                              </m:r>
                            </m:e>
                            <m:sub>
                              <m:r>
                                <m:t>i</m:t>
                              </m:r>
                            </m:sub>
                            <m:sup>
                              <m:r>
                                <m:t>2</m:t>
                              </m:r>
                            </m:sup>
                          </m:sSubSup>
                        </m:e>
                      </m:nary>
                    </m:e>
                  </m:rad>
                  <m:rad>
                    <m:radPr>
                      <m:degHide m:val="on"/>
                    </m:radPr>
                    <m:deg/>
                    <m:e>
                      <m:nary>
                        <m:naryPr>
                          <m:chr m:val="∑"/>
                          <m:limLoc m:val="undOvr"/>
                          <m:subHide m:val="off"/>
                          <m:supHide m:val="off"/>
                        </m:naryPr>
                        <m:sub>
                          <m:r>
                            <m:t>i</m:t>
                          </m:r>
                          <m:r>
                            <m:rPr>
                              <m:sty m:val="p"/>
                            </m:rPr>
                            <m:t>=</m:t>
                          </m:r>
                          <m:r>
                            <m:t>1</m:t>
                          </m:r>
                        </m:sub>
                        <m:sup>
                          <m:r>
                            <m:t>n</m:t>
                          </m:r>
                        </m:sup>
                        <m:e>
                          <m:sSubSup>
                            <m:e>
                              <m:r>
                                <m:t>b</m:t>
                              </m:r>
                            </m:e>
                            <m:sub>
                              <m:r>
                                <m:t>i</m:t>
                              </m:r>
                            </m:sub>
                            <m:sup>
                              <m:r>
                                <m:t>2</m:t>
                              </m:r>
                            </m:sup>
                          </m:sSubSup>
                        </m:e>
                      </m:nary>
                    </m:e>
                  </m:rad>
                </m:den>
              </m:f>
            </m:oMath>
          </w:p>
        </w:tc>
        <w:tc>
          <w:tcPr/>
          <w:p>
            <w:pPr>
              <w:pStyle w:val="Compact"/>
            </w:pPr>
            <m:oMath>
              <m:r>
                <m:t>a</m:t>
              </m:r>
              <m:r>
                <m:rPr>
                  <m:sty m:val="p"/>
                </m:rPr>
                <m:t>,</m:t>
              </m:r>
              <m:r>
                <m:t>b</m:t>
              </m:r>
            </m:oMath>
            <w:r>
              <w:t xml:space="preserve"> </w:t>
            </w:r>
            <w:r>
              <w:t xml:space="preserve">= vectores de embeddings,</w:t>
            </w:r>
            <w:r>
              <w:t xml:space="preserve"> </w:t>
            </w:r>
            <m:oMath>
              <m:r>
                <m:t>n</m:t>
              </m:r>
            </m:oMath>
            <w:r>
              <w:t xml:space="preserve"> </w:t>
            </w:r>
            <w:r>
              <w:t xml:space="preserve">= dimensionalidad</w:t>
            </w:r>
          </w:p>
        </w:tc>
      </w:tr>
      <w:tr>
        <w:tc>
          <w:tcPr/>
          <w:p>
            <w:pPr>
              <w:pStyle w:val="Compact"/>
            </w:pPr>
            <w:r>
              <w:rPr>
                <w:b/>
                <w:bCs/>
              </w:rPr>
              <w:t xml:space="preserve">BERTScore Precision</w:t>
            </w:r>
          </w:p>
        </w:tc>
        <w:tc>
          <w:tcPr/>
          <w:p>
            <w:pPr>
              <w:pStyle w:val="Compact"/>
            </w:pPr>
            <m:oMath>
              <m:sSub>
                <m:e>
                  <m:r>
                    <m:t>P</m:t>
                  </m:r>
                </m:e>
                <m:sub>
                  <m:r>
                    <m:rPr>
                      <m:nor/>
                      <m:sty m:val="p"/>
                    </m:rPr>
                    <m:t>BERT</m:t>
                  </m:r>
                </m:sub>
              </m:sSub>
              <m:r>
                <m:rPr>
                  <m:sty m:val="p"/>
                </m:rPr>
                <m:t>=</m:t>
              </m:r>
              <m:f>
                <m:fPr>
                  <m:type m:val="bar"/>
                </m:fPr>
                <m:num>
                  <m:r>
                    <m:t>1</m:t>
                  </m:r>
                </m:num>
                <m:den>
                  <m:r>
                    <m:rPr>
                      <m:sty m:val="p"/>
                    </m:rPr>
                    <m:t>∥</m:t>
                  </m:r>
                  <m:sSup>
                    <m:e>
                      <m:r>
                        <m:t>x</m:t>
                      </m:r>
                    </m:e>
                    <m:sup>
                      <m:r>
                        <m:t>r</m:t>
                      </m:r>
                      <m:r>
                        <m:t>e</m:t>
                      </m:r>
                      <m:r>
                        <m:t>f</m:t>
                      </m:r>
                    </m:sup>
                  </m:sSup>
                  <m:r>
                    <m:rPr>
                      <m:sty m:val="p"/>
                    </m:rPr>
                    <m:t>∥</m:t>
                  </m:r>
                </m:den>
              </m:f>
              <m:nary>
                <m:naryPr>
                  <m:chr m:val="∑"/>
                  <m:limLoc m:val="undOvr"/>
                  <m:subHide m:val="off"/>
                  <m:supHide m:val="on"/>
                </m:naryPr>
                <m:sub>
                  <m:sSub>
                    <m:e>
                      <m:r>
                        <m:t>x</m:t>
                      </m:r>
                    </m:e>
                    <m:sub>
                      <m:r>
                        <m:t>j</m:t>
                      </m:r>
                    </m:sub>
                  </m:sSub>
                  <m:r>
                    <m:rPr>
                      <m:sty m:val="p"/>
                    </m:rPr>
                    <m:t>∈</m:t>
                  </m:r>
                  <m:sSup>
                    <m:e>
                      <m:r>
                        <m:t>x</m:t>
                      </m:r>
                    </m:e>
                    <m:sup>
                      <m:r>
                        <m:t>r</m:t>
                      </m:r>
                      <m:r>
                        <m:t>e</m:t>
                      </m:r>
                      <m:r>
                        <m:t>f</m:t>
                      </m:r>
                    </m:sup>
                  </m:sSup>
                </m:sub>
                <m:sup>
                  <m:r>
                    <m:t>​</m:t>
                  </m:r>
                </m:sup>
                <m:e>
                  <m:sSub>
                    <m:e>
                      <m:r>
                        <m:rPr>
                          <m:sty m:val="p"/>
                        </m:rPr>
                        <m:t>max</m:t>
                      </m:r>
                    </m:e>
                    <m:sub>
                      <m:sSub>
                        <m:e>
                          <m:r>
                            <m:t>x</m:t>
                          </m:r>
                        </m:e>
                        <m:sub>
                          <m:r>
                            <m:t>i</m:t>
                          </m:r>
                        </m:sub>
                      </m:sSub>
                      <m:r>
                        <m:rPr>
                          <m:sty m:val="p"/>
                        </m:rPr>
                        <m:t>∈</m:t>
                      </m:r>
                      <m:sSup>
                        <m:e>
                          <m:r>
                            <m:t>x</m:t>
                          </m:r>
                        </m:e>
                        <m:sup>
                          <m:r>
                            <m:t>c</m:t>
                          </m:r>
                          <m:r>
                            <m:t>a</m:t>
                          </m:r>
                          <m:r>
                            <m:t>n</m:t>
                          </m:r>
                          <m:r>
                            <m:t>d</m:t>
                          </m:r>
                        </m:sup>
                      </m:sSup>
                    </m:sub>
                  </m:sSub>
                </m:e>
              </m:nary>
              <m:sSubSup>
                <m:e>
                  <m:r>
                    <m:rPr>
                      <m:sty m:val="b"/>
                    </m:rPr>
                    <m:t>x</m:t>
                  </m:r>
                </m:e>
                <m:sub>
                  <m:r>
                    <m:t>i</m:t>
                  </m:r>
                </m:sub>
                <m:sup>
                  <m:r>
                    <m:t>T</m:t>
                  </m:r>
                </m:sup>
              </m:sSubSup>
              <m:sSub>
                <m:e>
                  <m:r>
                    <m:rPr>
                      <m:sty m:val="b"/>
                    </m:rPr>
                    <m:t>x</m:t>
                  </m:r>
                </m:e>
                <m:sub>
                  <m:r>
                    <m:t>j</m:t>
                  </m:r>
                </m:sub>
              </m:sSub>
            </m:oMath>
          </w:p>
        </w:tc>
        <w:tc>
          <w:tcPr/>
          <w:p>
            <w:pPr>
              <w:pStyle w:val="Compact"/>
            </w:pPr>
            <m:oMath>
              <m:sSup>
                <m:e>
                  <m:r>
                    <m:t>x</m:t>
                  </m:r>
                </m:e>
                <m:sup>
                  <m:r>
                    <m:t>r</m:t>
                  </m:r>
                  <m:r>
                    <m:t>e</m:t>
                  </m:r>
                  <m:r>
                    <m:t>f</m:t>
                  </m:r>
                </m:sup>
              </m:sSup>
            </m:oMath>
            <w:r>
              <w:t xml:space="preserve"> </w:t>
            </w:r>
            <w:r>
              <w:t xml:space="preserve">= tokens de referencia,</w:t>
            </w:r>
            <w:r>
              <w:t xml:space="preserve"> </w:t>
            </w:r>
            <m:oMath>
              <m:sSup>
                <m:e>
                  <m:r>
                    <m:t>x</m:t>
                  </m:r>
                </m:e>
                <m:sup>
                  <m:r>
                    <m:t>c</m:t>
                  </m:r>
                  <m:r>
                    <m:t>a</m:t>
                  </m:r>
                  <m:r>
                    <m:t>n</m:t>
                  </m:r>
                  <m:r>
                    <m:t>d</m:t>
                  </m:r>
                </m:sup>
              </m:sSup>
            </m:oMath>
            <w:r>
              <w:t xml:space="preserve"> </w:t>
            </w:r>
            <w:r>
              <w:t xml:space="preserve">= tokens candidatos,</w:t>
            </w:r>
            <w:r>
              <w:t xml:space="preserve"> </w:t>
            </w:r>
            <m:oMath>
              <m:sSub>
                <m:e>
                  <m:r>
                    <m:rPr>
                      <m:sty m:val="b"/>
                    </m:rPr>
                    <m:t>x</m:t>
                  </m:r>
                </m:e>
                <m:sub>
                  <m:r>
                    <m:t>i</m:t>
                  </m:r>
                </m:sub>
              </m:sSub>
            </m:oMath>
            <w:r>
              <w:t xml:space="preserve"> </w:t>
            </w:r>
            <w:r>
              <w:t xml:space="preserve">= embedding contextual del token</w:t>
            </w:r>
            <w:r>
              <w:t xml:space="preserve"> </w:t>
            </w:r>
            <m:oMath>
              <m:r>
                <m:t>i</m:t>
              </m:r>
            </m:oMath>
          </w:p>
        </w:tc>
      </w:tr>
      <w:tr>
        <w:tc>
          <w:tcPr/>
          <w:p>
            <w:pPr>
              <w:pStyle w:val="Compact"/>
            </w:pPr>
            <w:r>
              <w:rPr>
                <w:b/>
                <w:bCs/>
              </w:rPr>
              <w:t xml:space="preserve">BERTScore Recall</w:t>
            </w:r>
          </w:p>
        </w:tc>
        <w:tc>
          <w:tcPr/>
          <w:p>
            <w:pPr>
              <w:pStyle w:val="Compact"/>
            </w:pPr>
            <m:oMath>
              <m:sSub>
                <m:e>
                  <m:r>
                    <m:t>R</m:t>
                  </m:r>
                </m:e>
                <m:sub>
                  <m:r>
                    <m:rPr>
                      <m:nor/>
                      <m:sty m:val="p"/>
                    </m:rPr>
                    <m:t>BERT</m:t>
                  </m:r>
                </m:sub>
              </m:sSub>
              <m:r>
                <m:rPr>
                  <m:sty m:val="p"/>
                </m:rPr>
                <m:t>=</m:t>
              </m:r>
              <m:f>
                <m:fPr>
                  <m:type m:val="bar"/>
                </m:fPr>
                <m:num>
                  <m:r>
                    <m:t>1</m:t>
                  </m:r>
                </m:num>
                <m:den>
                  <m:r>
                    <m:rPr>
                      <m:sty m:val="p"/>
                    </m:rPr>
                    <m:t>∥</m:t>
                  </m:r>
                  <m:sSup>
                    <m:e>
                      <m:r>
                        <m:t>x</m:t>
                      </m:r>
                    </m:e>
                    <m:sup>
                      <m:r>
                        <m:t>c</m:t>
                      </m:r>
                      <m:r>
                        <m:t>a</m:t>
                      </m:r>
                      <m:r>
                        <m:t>n</m:t>
                      </m:r>
                      <m:r>
                        <m:t>d</m:t>
                      </m:r>
                    </m:sup>
                  </m:sSup>
                  <m:r>
                    <m:rPr>
                      <m:sty m:val="p"/>
                    </m:rPr>
                    <m:t>∥</m:t>
                  </m:r>
                </m:den>
              </m:f>
              <m:nary>
                <m:naryPr>
                  <m:chr m:val="∑"/>
                  <m:limLoc m:val="undOvr"/>
                  <m:subHide m:val="off"/>
                  <m:supHide m:val="on"/>
                </m:naryPr>
                <m:sub>
                  <m:sSub>
                    <m:e>
                      <m:r>
                        <m:t>x</m:t>
                      </m:r>
                    </m:e>
                    <m:sub>
                      <m:r>
                        <m:t>i</m:t>
                      </m:r>
                    </m:sub>
                  </m:sSub>
                  <m:r>
                    <m:rPr>
                      <m:sty m:val="p"/>
                    </m:rPr>
                    <m:t>∈</m:t>
                  </m:r>
                  <m:sSup>
                    <m:e>
                      <m:r>
                        <m:t>x</m:t>
                      </m:r>
                    </m:e>
                    <m:sup>
                      <m:r>
                        <m:t>c</m:t>
                      </m:r>
                      <m:r>
                        <m:t>a</m:t>
                      </m:r>
                      <m:r>
                        <m:t>n</m:t>
                      </m:r>
                      <m:r>
                        <m:t>d</m:t>
                      </m:r>
                    </m:sup>
                  </m:sSup>
                </m:sub>
                <m:sup>
                  <m:r>
                    <m:t>​</m:t>
                  </m:r>
                </m:sup>
                <m:e>
                  <m:sSub>
                    <m:e>
                      <m:r>
                        <m:rPr>
                          <m:sty m:val="p"/>
                        </m:rPr>
                        <m:t>max</m:t>
                      </m:r>
                    </m:e>
                    <m:sub>
                      <m:sSub>
                        <m:e>
                          <m:r>
                            <m:t>x</m:t>
                          </m:r>
                        </m:e>
                        <m:sub>
                          <m:r>
                            <m:t>j</m:t>
                          </m:r>
                        </m:sub>
                      </m:sSub>
                      <m:r>
                        <m:rPr>
                          <m:sty m:val="p"/>
                        </m:rPr>
                        <m:t>∈</m:t>
                      </m:r>
                      <m:sSup>
                        <m:e>
                          <m:r>
                            <m:t>x</m:t>
                          </m:r>
                        </m:e>
                        <m:sup>
                          <m:r>
                            <m:t>r</m:t>
                          </m:r>
                          <m:r>
                            <m:t>e</m:t>
                          </m:r>
                          <m:r>
                            <m:t>f</m:t>
                          </m:r>
                        </m:sup>
                      </m:sSup>
                    </m:sub>
                  </m:sSub>
                </m:e>
              </m:nary>
              <m:sSubSup>
                <m:e>
                  <m:r>
                    <m:rPr>
                      <m:sty m:val="b"/>
                    </m:rPr>
                    <m:t>x</m:t>
                  </m:r>
                </m:e>
                <m:sub>
                  <m:r>
                    <m:t>i</m:t>
                  </m:r>
                </m:sub>
                <m:sup>
                  <m:r>
                    <m:t>T</m:t>
                  </m:r>
                </m:sup>
              </m:sSubSup>
              <m:sSub>
                <m:e>
                  <m:r>
                    <m:rPr>
                      <m:sty m:val="b"/>
                    </m:rPr>
                    <m:t>x</m:t>
                  </m:r>
                </m:e>
                <m:sub>
                  <m:r>
                    <m:t>j</m:t>
                  </m:r>
                </m:sub>
              </m:sSub>
            </m:oMath>
          </w:p>
        </w:tc>
        <w:tc>
          <w:tcPr/>
          <w:p>
            <w:pPr>
              <w:pStyle w:val="Compact"/>
            </w:pPr>
            <m:oMath>
              <m:sSup>
                <m:e>
                  <m:r>
                    <m:t>x</m:t>
                  </m:r>
                </m:e>
                <m:sup>
                  <m:r>
                    <m:t>c</m:t>
                  </m:r>
                  <m:r>
                    <m:t>a</m:t>
                  </m:r>
                  <m:r>
                    <m:t>n</m:t>
                  </m:r>
                  <m:r>
                    <m:t>d</m:t>
                  </m:r>
                </m:sup>
              </m:sSup>
            </m:oMath>
            <w:r>
              <w:t xml:space="preserve"> </w:t>
            </w:r>
            <w:r>
              <w:t xml:space="preserve">= tokens candidatos,</w:t>
            </w:r>
            <w:r>
              <w:t xml:space="preserve"> </w:t>
            </w:r>
            <m:oMath>
              <m:sSup>
                <m:e>
                  <m:r>
                    <m:t>x</m:t>
                  </m:r>
                </m:e>
                <m:sup>
                  <m:r>
                    <m:t>r</m:t>
                  </m:r>
                  <m:r>
                    <m:t>e</m:t>
                  </m:r>
                  <m:r>
                    <m:t>f</m:t>
                  </m:r>
                </m:sup>
              </m:sSup>
            </m:oMath>
            <w:r>
              <w:t xml:space="preserve"> </w:t>
            </w:r>
            <w:r>
              <w:t xml:space="preserve">= tokens de referencia</w:t>
            </w:r>
          </w:p>
        </w:tc>
      </w:tr>
      <w:tr>
        <w:tc>
          <w:tcPr/>
          <w:p>
            <w:pPr>
              <w:pStyle w:val="Compact"/>
            </w:pPr>
            <w:r>
              <w:rPr>
                <w:b/>
                <w:bCs/>
              </w:rPr>
              <w:t xml:space="preserve">BERTScore F1</w:t>
            </w:r>
          </w:p>
        </w:tc>
        <w:tc>
          <w:tcPr/>
          <w:p>
            <w:pPr>
              <w:pStyle w:val="Compact"/>
            </w:pPr>
            <m:oMath>
              <m:sSub>
                <m:e>
                  <m:r>
                    <m:t>F</m:t>
                  </m:r>
                </m:e>
                <m:sub>
                  <m:r>
                    <m:rPr>
                      <m:nor/>
                      <m:sty m:val="p"/>
                    </m:rPr>
                    <m:t>BERT</m:t>
                  </m:r>
                </m:sub>
              </m:sSub>
              <m:r>
                <m:rPr>
                  <m:sty m:val="p"/>
                </m:rPr>
                <m:t>=</m:t>
              </m:r>
              <m:r>
                <m:t>2</m:t>
              </m:r>
              <m:r>
                <m:rPr>
                  <m:sty m:val="p"/>
                </m:rPr>
                <m:t>⋅</m:t>
              </m:r>
              <m:f>
                <m:fPr>
                  <m:type m:val="bar"/>
                </m:fPr>
                <m:num>
                  <m:sSub>
                    <m:e>
                      <m:r>
                        <m:t>P</m:t>
                      </m:r>
                    </m:e>
                    <m:sub>
                      <m:r>
                        <m:rPr>
                          <m:nor/>
                          <m:sty m:val="p"/>
                        </m:rPr>
                        <m:t>BERT</m:t>
                      </m:r>
                    </m:sub>
                  </m:sSub>
                  <m:r>
                    <m:rPr>
                      <m:sty m:val="p"/>
                    </m:rPr>
                    <m:t>⋅</m:t>
                  </m:r>
                  <m:sSub>
                    <m:e>
                      <m:r>
                        <m:t>R</m:t>
                      </m:r>
                    </m:e>
                    <m:sub>
                      <m:r>
                        <m:rPr>
                          <m:nor/>
                          <m:sty m:val="p"/>
                        </m:rPr>
                        <m:t>BERT</m:t>
                      </m:r>
                    </m:sub>
                  </m:sSub>
                </m:num>
                <m:den>
                  <m:sSub>
                    <m:e>
                      <m:r>
                        <m:t>P</m:t>
                      </m:r>
                    </m:e>
                    <m:sub>
                      <m:r>
                        <m:rPr>
                          <m:nor/>
                          <m:sty m:val="p"/>
                        </m:rPr>
                        <m:t>BERT</m:t>
                      </m:r>
                    </m:sub>
                  </m:sSub>
                  <m:r>
                    <m:rPr>
                      <m:sty m:val="p"/>
                    </m:rPr>
                    <m:t>+</m:t>
                  </m:r>
                  <m:sSub>
                    <m:e>
                      <m:r>
                        <m:t>R</m:t>
                      </m:r>
                    </m:e>
                    <m:sub>
                      <m:r>
                        <m:rPr>
                          <m:nor/>
                          <m:sty m:val="p"/>
                        </m:rPr>
                        <m:t>BERT</m:t>
                      </m:r>
                    </m:sub>
                  </m:sSub>
                </m:den>
              </m:f>
            </m:oMath>
          </w:p>
        </w:tc>
        <w:tc>
          <w:tcPr/>
          <w:p>
            <w:pPr>
              <w:pStyle w:val="Compact"/>
            </w:pPr>
            <w:r>
              <w:t xml:space="preserve">Media armónica de Precision y Recall de BERTScore</w:t>
            </w:r>
          </w:p>
        </w:tc>
      </w:tr>
      <w:tr>
        <w:tc>
          <w:tcPr/>
          <w:p>
            <w:pPr>
              <w:pStyle w:val="Compact"/>
            </w:pPr>
            <w:r>
              <w:rPr>
                <w:b/>
                <w:bCs/>
              </w:rPr>
              <w:t xml:space="preserve">Semantic Similarity</w:t>
            </w:r>
          </w:p>
        </w:tc>
        <w:tc>
          <w:tcPr/>
          <w:p>
            <w:pPr>
              <w:pStyle w:val="Compact"/>
            </w:pPr>
            <m:oMath>
              <m:r>
                <m:t>S</m:t>
              </m:r>
              <m:r>
                <m:t>S</m:t>
              </m:r>
              <m:r>
                <m:rPr>
                  <m:sty m:val="p"/>
                </m:rPr>
                <m:t>=</m:t>
              </m:r>
              <m:r>
                <m:rPr>
                  <m:nor/>
                  <m:sty m:val="p"/>
                </m:rPr>
                <m:t>cosine_sim</m:t>
              </m:r>
              <m:r>
                <m:rPr>
                  <m:sty m:val="p"/>
                </m:rPr>
                <m:t>(</m:t>
              </m:r>
              <m:r>
                <m:rPr>
                  <m:nor/>
                  <m:sty m:val="p"/>
                </m:rPr>
                <m:t>emb</m:t>
              </m:r>
              <m:r>
                <m:rPr>
                  <m:sty m:val="p"/>
                </m:rPr>
                <m:t>(</m:t>
              </m:r>
              <m:r>
                <m:t>a</m:t>
              </m:r>
              <m:r>
                <m:t>n</m:t>
              </m:r>
              <m:r>
                <m:t>s</m:t>
              </m:r>
              <m:r>
                <m:t>w</m:t>
              </m:r>
              <m:r>
                <m:t>e</m:t>
              </m:r>
              <m:r>
                <m:t>r</m:t>
              </m:r>
              <m:r>
                <m:rPr>
                  <m:sty m:val="p"/>
                </m:rPr>
                <m:t>)</m:t>
              </m:r>
              <m:r>
                <m:rPr>
                  <m:sty m:val="p"/>
                </m:rPr>
                <m:t>,</m:t>
              </m:r>
              <m:r>
                <m:rPr>
                  <m:nor/>
                  <m:sty m:val="p"/>
                </m:rPr>
                <m:t>emb</m:t>
              </m:r>
              <m:r>
                <m:rPr>
                  <m:sty m:val="p"/>
                </m:rPr>
                <m:t>(</m:t>
              </m:r>
              <m:r>
                <m:t>r</m:t>
              </m:r>
              <m:r>
                <m:t>e</m:t>
              </m:r>
              <m:r>
                <m:t>f</m:t>
              </m:r>
              <m:r>
                <m:t>e</m:t>
              </m:r>
              <m:r>
                <m:t>r</m:t>
              </m:r>
              <m:r>
                <m:t>e</m:t>
              </m:r>
              <m:r>
                <m:t>n</m:t>
              </m:r>
              <m:r>
                <m:t>c</m:t>
              </m:r>
              <m:r>
                <m:t>e</m:t>
              </m:r>
              <m:r>
                <m:rPr>
                  <m:sty m:val="p"/>
                </m:rPr>
                <m:t>)</m:t>
              </m:r>
              <m:r>
                <m:rPr>
                  <m:sty m:val="p"/>
                </m:rPr>
                <m:t>)</m:t>
              </m:r>
            </m:oMath>
          </w:p>
        </w:tc>
        <w:tc>
          <w:tcPr/>
          <w:p>
            <w:pPr>
              <w:pStyle w:val="Compact"/>
            </w:pPr>
            <m:oMath>
              <m:r>
                <m:rPr>
                  <m:nor/>
                  <m:sty m:val="p"/>
                </m:rPr>
                <m:t>emb</m:t>
              </m:r>
              <m:r>
                <m:rPr>
                  <m:sty m:val="p"/>
                </m:rPr>
                <m:t>(</m:t>
              </m:r>
              <m:r>
                <m:rPr>
                  <m:sty m:val="p"/>
                </m:rPr>
                <m:t>⋅</m:t>
              </m:r>
              <m:r>
                <m:rPr>
                  <m:sty m:val="p"/>
                </m:rPr>
                <m:t>)</m:t>
              </m:r>
            </m:oMath>
            <w:r>
              <w:t xml:space="preserve"> </w:t>
            </w:r>
            <w:r>
              <w:t xml:space="preserve">= función de embedding semántico (ej: Sentence-BERT)</w:t>
            </w:r>
          </w:p>
        </w:tc>
      </w:tr>
    </w:tbl>
    <w:p>
      <w:pPr>
        <w:pStyle w:val="BodyText"/>
        <w:sectPr>
          <w:type w:val="nextPage"/>
        </w:sectPr>
      </w:pPr>
      <w:r>
        <w:t xml:space="preserve">En este proyecto se implementó un framework de evaluación que incluye métricas de recuperación tradicionales (Precision@k, Recall@k, MRR, NDCG), métricas RAG especializadas (Answer Relevancy, Context Precision, Context Recall, Faithfulness implementadas via RAGAS), evaluación semántica mediante BERTScore, y análisis pre/post reranking para cuantificar el impacto del CrossEncoder. Esta combinación permite evaluar integralmente tanto la efectividad de la recuperación como la calidad de las respuestas generadas, proporcionando insights detallados sobre el rendimiento de cada componente del pipeline RAG en el contexto del soporte técnico de Azure.</w:t>
      </w:r>
    </w:p>
    <w:bookmarkEnd w:id="26"/>
    <w:bookmarkEnd w:id="27"/>
    <w:bookmarkEnd w:id="28"/>
    <w:sectPr>
      <w:footnotePr>
        <w:numRestart w:val="eachSect"/>
      </w:footnotePr>
    </w:sectPr>
    <w:p>
      <w:pPr>
        <w:pStyle w:val="Title"/>
      </w:pPr>
      <w:r>
        <w:t xml:space="preserve">Capítulo 3: Marco Teórico</w:t>
      </w:r>
    </w:p>
    <w:bookmarkStart w:id="31" w:name="marco-teórico"/>
    <w:p>
      <w:pPr>
        <w:pStyle w:val="Heading1"/>
      </w:pPr>
      <w:r>
        <w:t xml:space="preserve">3. MARCO TEÓRICO</w:t>
      </w:r>
    </w:p>
    <w:bookmarkStart w:id="9" w:name="introducción"/>
    <w:p>
      <w:pPr>
        <w:pStyle w:val="Heading2"/>
      </w:pPr>
      <w:r>
        <w:t xml:space="preserve">3.1 Introducción</w:t>
      </w:r>
    </w:p>
    <w:p>
      <w:pPr>
        <w:pStyle w:val="FirstParagraph"/>
      </w:pPr>
      <w:r>
        <w:t xml:space="preserve">Este capítulo establece los fundamentos teóricos que sustentan el sistema RAG desarrollado en este proyecto. La convergencia de múltiples dominios tecnológicos ha habilitado avances significativos en la última década: recuperación de información semántica, modelos de embeddings densos, arquitecturas de Retrieval-Augmented Generation, y bases de datos vectoriales optimizadas. Esta convergencia permite desarrollar sistemas de soporte técnico automatizado que superan las limitaciones de los enfoques tradicionales basados en coincidencia léxica.</w:t>
      </w:r>
    </w:p>
    <w:p>
      <w:pPr>
        <w:pStyle w:val="BodyText"/>
      </w:pPr>
      <w:r>
        <w:t xml:space="preserve">La documentación técnica de productos tecnológicos complejos presenta desafíos únicos que requieren una comprensión profunda de los fundamentos teóricos que sustentan las tecnologías de recuperación y generación de información. Los conceptos presentados proporcionan los cimientos conceptuales necesarios para comprender la arquitectura, implementación y evaluación del sistema RAG, analizando cada componente tecnológico y su contribución al objetivo general de automatización inteligente del soporte técnico. Si bien este trabajo utiliza la documentación de Microsoft Azure como caso de estudio, los principios y metodologías son aplicables a cualquier corpus de documentación técnica especializada.</w:t>
      </w:r>
    </w:p>
    <w:bookmarkEnd w:id="9"/>
    <w:bookmarkStart w:id="13" w:name="X4ea0384448e0ccf89c0e9f8a9d872a4b73c79c6"/>
    <w:p>
      <w:pPr>
        <w:pStyle w:val="Heading2"/>
      </w:pPr>
      <w:r>
        <w:t xml:space="preserve">3.2 Fundamentos de Recuperación de Información</w:t>
      </w:r>
    </w:p>
    <w:bookmarkStart w:id="10" w:name="X526a8f6a899196609ce9859df6733a2d89b20f5"/>
    <w:p>
      <w:pPr>
        <w:pStyle w:val="Heading3"/>
      </w:pPr>
      <w:r>
        <w:t xml:space="preserve">3.2.1 Evolución de los Paradigmas de Recuperación</w:t>
      </w:r>
    </w:p>
    <w:p>
      <w:pPr>
        <w:pStyle w:val="FirstParagraph"/>
      </w:pPr>
      <w:r>
        <w:t xml:space="preserve">La recuperación de información (Information Retrieval, IR) ha evolucionado desde modelos probabilísticos clásicos hacia enfoques semánticos basados en representaciones vectoriales densas. El modelo vectorial tradicional, introducido por Salton et al. (1975), representa documentos y consultas como vectores en un espacio multidimensional donde cada dimensión corresponde a un término del vocabulario. Sin embargo, este enfoque sufre de limitaciones relacionadas con la maldición de la dimensionalidad y la incapacidad de capturar relaciones semánticas implícitas.</w:t>
      </w:r>
    </w:p>
    <w:p>
      <w:pPr>
        <w:pStyle w:val="BodyText"/>
      </w:pPr>
      <w:r>
        <w:t xml:space="preserve">El cambio paradigmático hacia recuperación semántica densa ha sido posible gracias al desarrollo de modelos de lenguaje preentrenados capaces de generar representaciones vectoriales que preservan información semántica y contextual (Karpukhin et al., 2020). Estos modelos transforman texto en vectores de baja dimensión (típicamente 256-1536 dimensiones) que capturan similitudes semánticas no evidentes en el nivel léxico.</w:t>
      </w:r>
    </w:p>
    <w:bookmarkEnd w:id="10"/>
    <w:bookmarkStart w:id="11" w:name="X398e724a31c0d091533faba415c4e8c61a0fa91"/>
    <w:p>
      <w:pPr>
        <w:pStyle w:val="Heading3"/>
      </w:pPr>
      <w:r>
        <w:t xml:space="preserve">3.2.2 Fundamentos Matemáticos de Similitud Semántica</w:t>
      </w:r>
    </w:p>
    <w:p>
      <w:pPr>
        <w:pStyle w:val="FirstParagraph"/>
      </w:pPr>
      <w:r>
        <w:t xml:space="preserve">La similitud semántica en espacios vectoriales densos se cuantifica mediante la similitud coseno, definida como la relación entre el producto punto de dos vectores y el producto de sus normas euclidianas. Esta métrica normaliza los vectores, enfocándose en la orientación angular más que en la magnitud, lo que resulta apropiado para comparaciones semánticas donde la longitud del documento es menos relevante que su contenido conceptual.</w:t>
      </w:r>
    </w:p>
    <w:p>
      <w:pPr>
        <w:pStyle w:val="BodyText"/>
      </w:pPr>
      <w:r>
        <w:t xml:space="preserve">La efectividad de esta aproximación depende críticamente de la calidad de las representaciones vectoriales, que deben preservar relaciones semánticas de manera que documentos conceptualmente similares mantengan proximidad en el espacio vectorial (Reimers &amp; Gurevych, 2019).</w:t>
      </w:r>
    </w:p>
    <w:bookmarkEnd w:id="11"/>
    <w:bookmarkStart w:id="12" w:name="X4bfa6aa33d5ddaaa96362a9852bf778006795c1"/>
    <w:p>
      <w:pPr>
        <w:pStyle w:val="Heading3"/>
      </w:pPr>
      <w:r>
        <w:t xml:space="preserve">3.2.3 Arquitecturas de Recuperación Multi-Etapa</w:t>
      </w:r>
    </w:p>
    <w:p>
      <w:pPr>
        <w:pStyle w:val="FirstParagraph"/>
      </w:pPr>
      <w:r>
        <w:t xml:space="preserve">Los sistemas modernos de recuperación implementan arquitecturas multi-etapa que optimizan el balance entre recall y precisión mediante un proceso de refinamiento progresivo (Qu et al., 2021). El pipeline típico comienza con una recuperación inicial mediante búsqueda vectorial eficiente sobre el corpus completo utilizando similitud coseno. Esta fase identifica un conjunto amplio de candidatos potencialmente relevantes. Posteriormente, un proceso de reranking utiliza modelos más sofisticados (CrossEncoders) que procesan conjuntamente consulta y documento para refinar el ordenamiento de candidatos. Finalmente, se aplican reglas de negocio y thresholding para optimizar la precisión de los resultados finales presentados al usuario.</w:t>
      </w:r>
    </w:p>
    <w:p>
      <w:pPr>
        <w:pStyle w:val="BodyText"/>
      </w:pPr>
      <w:r>
        <w:t xml:space="preserve">Esta arquitectura permite escalar a corpus de gran tamaño manteniendo alta precisión en los resultados finales.</w:t>
      </w:r>
    </w:p>
    <w:bookmarkEnd w:id="12"/>
    <w:bookmarkEnd w:id="13"/>
    <w:bookmarkStart w:id="17" w:name="modelos-de-embeddings"/>
    <w:p>
      <w:pPr>
        <w:pStyle w:val="Heading2"/>
      </w:pPr>
      <w:r>
        <w:t xml:space="preserve">3.3 Modelos de Embeddings</w:t>
      </w:r>
    </w:p>
    <w:bookmarkStart w:id="14" w:name="openai-ada-text-embedding-ada-002"/>
    <w:p>
      <w:pPr>
        <w:pStyle w:val="Heading3"/>
      </w:pPr>
      <w:r>
        <w:t xml:space="preserve">3.3.1 OpenAI Ada (text-embedding-ada-002)</w:t>
      </w:r>
    </w:p>
    <w:p>
      <w:pPr>
        <w:pStyle w:val="FirstParagraph"/>
      </w:pPr>
      <w:r>
        <w:t xml:space="preserve">OpenAI Ada representa el estado del arte en modelos de embeddings comerciales, implementando una arquitectura Transformer optimizada para generación de representaciones vectoriales densas (OpenAI, 2023). El modelo genera vectores de 1,536 dimensiones optimizados para tareas de similitud semántica y recuperación de información. Sus características técnicas incluyen una longitud máxima de contexto de 8,191 tokens, arquitectura Transformer con optimizaciones propietarias para embeddings, y normalización que produce vectores unitarios con norma L2 igual a 1.0.</w:t>
      </w:r>
    </w:p>
    <w:p>
      <w:pPr>
        <w:pStyle w:val="BodyText"/>
      </w:pPr>
      <w:r>
        <w:t xml:space="preserve">Ada incorpora técnicas avanzadas de preentrenamiento contrastivo que optimizan la representación vectorial para tareas de similitud semántica. El modelo ha sido entrenado en un corpus diverso que incluye documentación técnica, lo que resulta beneficioso para dominios especializados como Microsoft Azure. Sin embargo, presenta limitaciones relacionadas con su naturaleza propietaria, incluyendo dependencia de API externa, costos operacionales variables, y opacidad arquitectónica que impide optimizaciones específicas del dominio. Su rendimiento puede degradarse en terminología altamente especializada no representada en el corpus de entrenamiento.</w:t>
      </w:r>
    </w:p>
    <w:bookmarkEnd w:id="14"/>
    <w:bookmarkStart w:id="15" w:name="sentence-bert-mpnet-y-minilm"/>
    <w:p>
      <w:pPr>
        <w:pStyle w:val="Heading3"/>
      </w:pPr>
      <w:r>
        <w:t xml:space="preserve">3.3.2 Sentence-BERT: MPNet y MiniLM</w:t>
      </w:r>
    </w:p>
    <w:p>
      <w:pPr>
        <w:pStyle w:val="FirstParagraph"/>
      </w:pPr>
      <w:r>
        <w:t xml:space="preserve">MPNet (Masked and Permuted Pre-training) combina las ventajas de BERT y XLNet mediante una estrategia de preentrenamiento que incorpora tanto masked language modeling como permuted language modeling (Song et al., 2020). Esta aproximación híbrida resulta en representaciones más robustas para tareas de recuperación semántica. El modelo multi-qa-mpnet-base-dot-v1 utilizado en este proyecto genera vectores de 768 dimensiones mediante una arquitectura de 12 capas transformer con 12 cabezas de atención, totalizando aproximadamente 110 millones de parámetros. Su especialización proviene de fine-tuning en pares pregunta-respuesta, optimizando el modelo para este tipo de interacciones.</w:t>
      </w:r>
    </w:p>
    <w:p>
      <w:pPr>
        <w:pStyle w:val="BodyText"/>
      </w:pPr>
      <w:r>
        <w:t xml:space="preserve">Un aspecto técnico relevante es el uso del prefijo</w:t>
      </w:r>
      <w:r>
        <w:t xml:space="preserve"> </w:t>
      </w:r>
      <w:r>
        <w:t xml:space="preserve">“query:”</w:t>
      </w:r>
      <w:r>
        <w:t xml:space="preserve"> </w:t>
      </w:r>
      <w:r>
        <w:t xml:space="preserve">al procesar consultas, convención establecida durante el entrenamiento para distinguir entre consultas y documentos, lo que resulta crucial para el rendimiento óptimo del modelo.</w:t>
      </w:r>
    </w:p>
    <w:p>
      <w:pPr>
        <w:pStyle w:val="BodyText"/>
      </w:pPr>
      <w:r>
        <w:t xml:space="preserve">MiniLM implementa destilación de conocimiento desde modelos BERT más grandes, manteniendo calidad semántica mientras reduce los requerimientos computacionales (Wang et al., 2020). Esta optimización es valiosa en aplicaciones de producción con restricciones de recursos. El modelo all-MiniLM-L6-v2 genera vectores de 384 dimensiones mediante 6 capas transformer con aproximadamente 22 millones de parámetros, operando aproximadamente 5 veces más rápido que BERT-base. La reducción dimensional y arquitectónica se compensa mediante técnicas avanzadas de destilación que preservan información semántica crítica en el espacio vectorial de menor dimensión.</w:t>
      </w:r>
    </w:p>
    <w:bookmarkEnd w:id="15"/>
    <w:bookmarkStart w:id="16" w:name="X42cf9c408e27acfdb5d323454a66dee06b72d5c"/>
    <w:p>
      <w:pPr>
        <w:pStyle w:val="Heading3"/>
      </w:pPr>
      <w:r>
        <w:t xml:space="preserve">3.3.3 E5-Large: Embeddings Especializados en Recuperación</w:t>
      </w:r>
    </w:p>
    <w:p>
      <w:pPr>
        <w:pStyle w:val="FirstParagraph"/>
      </w:pPr>
      <w:r>
        <w:t xml:space="preserve">E5-Large (Embeddings from bidirectional Encoder representations) implementa una estrategia de preentrenamiento contrastivo optimizada para tareas de recuperación de información (Wang et al., 2022). El modelo utiliza técnicas de aprendizaje auto-supervisado que maximizan la similitud entre pares relacionados mientras minimizan la similitud entre pares no relacionados. Sus características técnicas incluyen vectores de 1,024 dimensiones generados por una arquitectura Transformer de 24 capas con aproximadamente 335 millones de parámetros, entrenado en un corpus multilingüe con énfasis en pares texto-texto.</w:t>
      </w:r>
    </w:p>
    <w:p>
      <w:pPr>
        <w:pStyle w:val="BodyText"/>
      </w:pPr>
      <w:r>
        <w:t xml:space="preserve">E5-Large ha demostrado rendimiento superior en el benchmark MTEB (Massive Text Embedding Benchmark), particularmente en tareas de recuperación semántica y clasificación de similaridad textual (Muennighoff et al., 2023). Su arquitectura optimizada para recuperación lo posiciona como una alternativa competitiva a modelos propietarios en aplicaciones especializadas.</w:t>
      </w:r>
    </w:p>
    <w:p>
      <w:pPr>
        <w:pStyle w:val="BodyText"/>
      </w:pPr>
      <w:r>
        <w:t xml:space="preserve">Su diseño multilingüe y arquitectura optimizada para recuperación lo posicionan como una alternativa relevante en aplicaciones que requieren capacidades de búsqueda semántica robusta en múltiples idiomas. La especialización del modelo en tareas de recuperación mediante preentrenamiento contrastivo representa un enfoque metodológico diferente al de modelos generalistas, ofreciendo potencial para dominios técnicos especializados donde la precisión de recuperación es crítica.</w:t>
      </w:r>
    </w:p>
    <w:bookmarkEnd w:id="16"/>
    <w:bookmarkEnd w:id="17"/>
    <w:bookmarkStart w:id="21" w:name="X473f0aa79400d3220ccf0ef5754f15d275ec839"/>
    <w:p>
      <w:pPr>
        <w:pStyle w:val="Heading2"/>
      </w:pPr>
      <w:r>
        <w:t xml:space="preserve">3.4 Arquitecturas RAG (Retrieval-Augmented Generation)</w:t>
      </w:r>
    </w:p>
    <w:bookmarkStart w:id="18" w:name="fundamentos-teóricos-de-rag"/>
    <w:p>
      <w:pPr>
        <w:pStyle w:val="Heading3"/>
      </w:pPr>
      <w:r>
        <w:t xml:space="preserve">3.4.1 Fundamentos Teóricos de RAG</w:t>
      </w:r>
    </w:p>
    <w:p>
      <w:pPr>
        <w:pStyle w:val="FirstParagraph"/>
      </w:pPr>
      <w:r>
        <w:t xml:space="preserve">Las arquitecturas RAG combinan los beneficios de modelos parametrizados (conocimiento almacenado en parámetros) con acceso dinámico a conocimiento no parametrizado (bases de datos externas). Esta hibridación permite superar limitaciones de los modelos de lenguaje tradicionales, incluyendo obsolescencia de información, alucinaciones factuales, y limitaciones de memoria (Lewis et al., 2020).</w:t>
      </w:r>
    </w:p>
    <w:p>
      <w:pPr>
        <w:pStyle w:val="BodyText"/>
      </w:pPr>
      <w:r>
        <w:t xml:space="preserve">El paradigma RAG descompone la generación de respuestas en dos componentes diferenciables: un retriever especializado en recuperación de información relevante, y un generator que sintetiza respuestas utilizando la información recuperada. Esta separación permite optimizar independientemente cada componente y facilita la actualización de la base de conocimiento sin reentrenar el modelo generativo.</w:t>
      </w:r>
    </w:p>
    <w:bookmarkEnd w:id="18"/>
    <w:bookmarkStart w:id="19" w:name="taxonomía-de-arquitecturas-rag"/>
    <w:p>
      <w:pPr>
        <w:pStyle w:val="Heading3"/>
      </w:pPr>
      <w:r>
        <w:t xml:space="preserve">3.4.2 Taxonomía de Arquitecturas RAG</w:t>
      </w:r>
    </w:p>
    <w:p>
      <w:pPr>
        <w:pStyle w:val="FirstParagraph"/>
      </w:pPr>
      <w:r>
        <w:t xml:space="preserve">La arquitectura RAG clásica implementa un pipeline secuencial donde la recuperación precede completamente a la generación. Esta aproximación es computacionalmente eficiente y facilita la interpretabilidad al separar claramente las responsabilidades de cada componente. El proceso comienza con la recuperación de documentos relevantes basándose en la consulta del usuario, seguido de la construcción de un contexto que combina los documentos recuperados, y finalmente la generación de una respuesta que incorpora la información contextual recuperada.</w:t>
      </w:r>
    </w:p>
    <w:p>
      <w:pPr>
        <w:pStyle w:val="BodyText"/>
      </w:pPr>
      <w:r>
        <w:t xml:space="preserve">Variantes más sofisticadas incluyen RAG iterativo, donde el proceso de recuperación puede repetirse basándose en la generación parcial, y RAG adaptativo, donde el modelo aprende dinámicamente cuándo y cómo utilizar información externa (Jiang et al., 2023). Estas variantes ofrecen mayor flexibilidad pero requieren recursos computacionales adicionales.</w:t>
      </w:r>
    </w:p>
    <w:bookmarkEnd w:id="19"/>
    <w:bookmarkStart w:id="20" w:name="métricas-de-evaluación-rag"/>
    <w:p>
      <w:pPr>
        <w:pStyle w:val="Heading3"/>
      </w:pPr>
      <w:r>
        <w:t xml:space="preserve">3.4.3 Métricas de Evaluación RAG</w:t>
      </w:r>
    </w:p>
    <w:p>
      <w:pPr>
        <w:pStyle w:val="FirstParagraph"/>
      </w:pPr>
      <w:r>
        <w:t xml:space="preserve">La evaluación de sistemas RAG requiere métricas especializadas que capturen tanto la calidad de recuperación como la calidad de generación. El framework RAGAS (Retrieval Augmented Generation Assessment) proporciona métricas que abordan diferentes aspectos del sistema. Faithfulness evalúa la consistencia factual entre la respuesta generada y el contexto proporcionado, detectando casos donde el modelo introduce información no soportada por los documentos recuperados. Answer Relevancy mide qué tan bien la respuesta aborda la pregunta formulada, evaluando la alineación semántica entre consulta y respuesta. Context Precision examina qué proporción del contexto recuperado es realmente relevante para responder la pregunta, identificando ruido en la fase de recuperación. Context Recall verifica si toda la información necesaria para responder está presente en el contexto recuperado, comparando contra respuestas de referencia cuando están disponibles.</w:t>
      </w:r>
    </w:p>
    <w:bookmarkEnd w:id="20"/>
    <w:bookmarkEnd w:id="21"/>
    <w:bookmarkStart w:id="25" w:name="crossencoders-y-reranking"/>
    <w:p>
      <w:pPr>
        <w:pStyle w:val="Heading2"/>
      </w:pPr>
      <w:r>
        <w:t xml:space="preserve">3.5 CrossEncoders y Reranking</w:t>
      </w:r>
    </w:p>
    <w:bookmarkStart w:id="22" w:name="Xe803ca4a8003e879e0b74e25b3ba5d214c4b7de"/>
    <w:p>
      <w:pPr>
        <w:pStyle w:val="Heading3"/>
      </w:pPr>
      <w:r>
        <w:t xml:space="preserve">3.5.1 Fundamentos Teóricos del Reranking Neural</w:t>
      </w:r>
    </w:p>
    <w:p>
      <w:pPr>
        <w:pStyle w:val="FirstParagraph"/>
      </w:pPr>
      <w:r>
        <w:t xml:space="preserve">El reranking neural utiliza modelos que procesan conjuntamente consulta y documento, capturando interacciones semánticas más sofisticadas que los enfoques de embedding independientes. Los CrossEncoders representan el estado del arte en esta aproximación, utilizando mecanismos de atención cruzada para modelar relaciones complejas entre consulta y documento (Nogueira &amp; Cho, 2019).</w:t>
      </w:r>
    </w:p>
    <w:p>
      <w:pPr>
        <w:pStyle w:val="BodyText"/>
      </w:pPr>
      <w:r>
        <w:t xml:space="preserve">A diferencia de los bi-encoders que generan representaciones independientes para consultas y documentos, los CrossEncoders procesan ambos elementos simultáneamente, permitiendo que el modelo capture dependencias y relaciones contextuales que no son accesibles en aproximaciones de embedding separadas. Esta capacidad resulta en scores de relevancia más precisos, aunque a costa de mayor complejidad computacional.</w:t>
      </w:r>
    </w:p>
    <w:bookmarkEnd w:id="22"/>
    <w:bookmarkStart w:id="23" w:name="X340547a7cddf36a47ce659818c60092f4496536"/>
    <w:p>
      <w:pPr>
        <w:pStyle w:val="Heading3"/>
      </w:pPr>
      <w:r>
        <w:t xml:space="preserve">3.5.2 Arquitectura CrossEncoder ms-marco-MiniLM-L-6-v2</w:t>
      </w:r>
    </w:p>
    <w:p>
      <w:pPr>
        <w:pStyle w:val="FirstParagraph"/>
      </w:pPr>
      <w:r>
        <w:t xml:space="preserve">El modelo ms-marco-MiniLM-L-6-v2 ha sido fine-tuneado en el dataset MS MARCO, que contiene 8.8 millones de pares pregunta-pasaje derivados de consultas reales de Bing. Esta especialización resulta en un modelo optimizado para escenarios de recuperación de información factual y técnica. La arquitectura base utiliza MiniLM-L6 con 6 capas transformer, ocupando aproximadamente 90MB, con capacidad para procesar hasta 512 tokens por entrada y generando scores de relevancia como salida.</w:t>
      </w:r>
    </w:p>
    <w:p>
      <w:pPr>
        <w:pStyle w:val="BodyText"/>
      </w:pPr>
      <w:r>
        <w:t xml:space="preserve">La normalización Min-Max aplicada a los scores del CrossEncoder garantiza comparabilidad entre consultas y estabilidad en las métricas de evaluación. Este proceso convierte los scores originales (logits) a un rango normalizado entre 0 y 1, donde los valores son relativos al conjunto de documentos evaluados. La normalización calcula el mínimo y máximo de los scores para la consulta actual, y reescala linealmente cada score individual dentro de este rango. Esta técnica permite comparaciones justas entre diferentes consultas que podrían tener distribuciones de scores naturalmente diferentes.</w:t>
      </w:r>
    </w:p>
    <w:bookmarkEnd w:id="23"/>
    <w:bookmarkStart w:id="24" w:name="teoría-de-optimización-multi-etapa"/>
    <w:p>
      <w:pPr>
        <w:pStyle w:val="Heading3"/>
      </w:pPr>
      <w:r>
        <w:t xml:space="preserve">3.5.3 Teoría de Optimización Multi-Etapa</w:t>
      </w:r>
    </w:p>
    <w:p>
      <w:pPr>
        <w:pStyle w:val="FirstParagraph"/>
      </w:pPr>
      <w:r>
        <w:t xml:space="preserve">La combinación de recuperación densa con reranking neural implementa una estrategia de optimización multi-etapa que balancea eficiencia computacional con precisión. La primera etapa (dense retrieval) opera como un filtro eficiente sobre el corpus completo, utilizando búsqueda vectorial rápida para identificar candidatos potencialmente relevantes. La segunda etapa (reranking) aplica un modelo más sofisticado sobre un conjunto reducido de candidatos, típicamente entre 10 y 100 documentos.</w:t>
      </w:r>
    </w:p>
    <w:p>
      <w:pPr>
        <w:pStyle w:val="BodyText"/>
      </w:pPr>
      <w:r>
        <w:t xml:space="preserve">Esta aproximación es sólida desde la perspectiva de optimización computacional, ya que permite aplicar modelos costosos únicamente sobre subconjuntos relevantes identificados por heurísticas eficientes (Chen et al., 2022). La estrategia aprovecha el hecho de que la mayoría de documentos en el corpus son claramente irrelevantes y pueden descartarse rápidamente mediante métodos eficientes, reservando el procesamiento intensivo para el refinamiento de candidatos prometedores.</w:t>
      </w:r>
    </w:p>
    <w:bookmarkEnd w:id="24"/>
    <w:bookmarkEnd w:id="25"/>
    <w:bookmarkStart w:id="30" w:name="bases-de-datos-vectoriales"/>
    <w:p>
      <w:pPr>
        <w:pStyle w:val="Heading2"/>
      </w:pPr>
      <w:r>
        <w:t xml:space="preserve">3.6 Bases de Datos Vectoriales</w:t>
      </w:r>
    </w:p>
    <w:bookmarkStart w:id="26" w:name="Xb935570b1c57c49829917d4bd821e866bbad3f9"/>
    <w:p>
      <w:pPr>
        <w:pStyle w:val="Heading3"/>
      </w:pPr>
      <w:r>
        <w:t xml:space="preserve">3.6.1 Fundamentos de Búsqueda de Vectores de Alta Dimensión</w:t>
      </w:r>
    </w:p>
    <w:p>
      <w:pPr>
        <w:pStyle w:val="FirstParagraph"/>
      </w:pPr>
      <w:r>
        <w:t xml:space="preserve">La búsqueda eficiente en espacios vectoriales de alta dimensión presenta desafíos computacionales únicos relacionados con la maldición de la dimensionalidad y la necesidad de índices especializados. Los algoritmos de búsqueda exacta como fuerza bruta escalan linealmente con el tamaño del corpus, resultando impracticables para aplicaciones de producción con millones de documentos.</w:t>
      </w:r>
    </w:p>
    <w:bookmarkEnd w:id="26"/>
    <w:bookmarkStart w:id="27" w:name="algoritmos-de-búsqueda-aproximada-hnsw"/>
    <w:p>
      <w:pPr>
        <w:pStyle w:val="Heading3"/>
      </w:pPr>
      <w:r>
        <w:t xml:space="preserve">3.6.2 Algoritmos de Búsqueda Aproximada: HNSW</w:t>
      </w:r>
    </w:p>
    <w:p>
      <w:pPr>
        <w:pStyle w:val="FirstParagraph"/>
      </w:pPr>
      <w:r>
        <w:t xml:space="preserve">HNSW (Hierarchical Navigable Small World) implementa una estructura de grafo multicapa que permite búsqueda logarítmica aproximada en espacios de alta dimensión (Malkov &amp; Yashunin, 2018). El algoritmo construye una jerarquía de grafos donde cada nivel contiene una fracción de los nodos del nivel inferior, permitiendo navegación eficiente desde búsqueda gruesa a refinada. Los niveles superiores contienen menos nodos y permiten saltos largos en el espacio, mientras los niveles inferiores contienen más nodos y refinan la búsqueda localmente.</w:t>
      </w:r>
    </w:p>
    <w:p>
      <w:pPr>
        <w:pStyle w:val="BodyText"/>
      </w:pPr>
      <w:r>
        <w:t xml:space="preserve">La estructura HNSW ofrece garantías teóricas de complejidad O(log N) para búsqueda y O(N log N) para construcción del índice, donde N es el número de vectores almacenados. En dominios técnicos especializados como documentación de Microsoft Azure, la distribución de vectores puede presentar características que permiten optimizaciones específicas. La clustering temática natural de documentos relacionados puede explotarse mediante técnicas de particionamiento inteligente del espacio vectorial.</w:t>
      </w:r>
    </w:p>
    <w:bookmarkEnd w:id="27"/>
    <w:bookmarkStart w:id="28" w:name="Xd19b532d833e2940d70aa30c932c8266c60c512"/>
    <w:p>
      <w:pPr>
        <w:pStyle w:val="Heading3"/>
      </w:pPr>
      <w:r>
        <w:t xml:space="preserve">3.6.3 ChromaDB: Arquitectura y Decisión Tecnológica</w:t>
      </w:r>
    </w:p>
    <w:p>
      <w:pPr>
        <w:pStyle w:val="FirstParagraph"/>
      </w:pPr>
      <w:r>
        <w:t xml:space="preserve">La migración de Weaviate a ChromaDB se fundamentó en criterios de optimización para flujos de investigación y desarrollo. Weaviate ofrece escalabilidad empresarial, API GraphQL sofisticada, y módulos especializados para diferentes tipos de embeddings, siendo óptimo para aplicaciones de producción distribuida. Sin embargo, presenta latencia de red entre 150-300ms por consulta y dependencia de conectividad externa. ChromaDB, por otro lado, proporciona latencia local menor a 10ms, portabilidad de datos mediante formato Parquet, y simplicidad de configuración sin requerimientos de servicios externos, siendo óptimo para investigación y desarrollo iterativo donde la velocidad de experimentación es prioritaria.</w:t>
      </w:r>
    </w:p>
    <w:p>
      <w:pPr>
        <w:pStyle w:val="BodyText"/>
      </w:pPr>
      <w:r>
        <w:t xml:space="preserve">El sistema implementa una arquitectura de almacenamiento que mantiene colecciones separadas para cada modelo de embedding, permitiendo comparaciones directas mientras preserva optimizaciones específicas por modelo. Las colecciones de documentos (docs_ada, docs_mpnet, docs_minilm, docs_e5large) y colecciones de preguntas (questions_ada, questions_mpnet, questions_minilm, questions_e5large) permiten evaluaciones independientes. Una colección adicional (questions_withlinks) mantiene 2,067 pares validados como ground truth. Esta arquitectura facilita evaluaciones comparativas rigurosas y permite optimizaciones independientes por modelo sin interferencia cruzada.</w:t>
      </w:r>
    </w:p>
    <w:bookmarkEnd w:id="28"/>
    <w:bookmarkStart w:id="29" w:name="X57472dac497dd0cd58abfe235e7c512cf251921"/>
    <w:p>
      <w:pPr>
        <w:pStyle w:val="Heading3"/>
      </w:pPr>
      <w:r>
        <w:t xml:space="preserve">3.6.4 Consideraciones de Escalabilidad y Rendimiento</w:t>
      </w:r>
    </w:p>
    <w:p>
      <w:pPr>
        <w:pStyle w:val="FirstParagraph"/>
      </w:pPr>
      <w:r>
        <w:t xml:space="preserve">La selección de base de datos vectorial debe considerar múltiples factores incluyendo latencia de consulta, throughput, consumo de memoria, y capacidades de actualización incremental. Para corpus de tamaño moderado (aproximadamente 200,000 vectores), soluciones embebidas como ChromaDB ofrecen ventajas en simplicidad operacional y rendimiento de consulta. Para aplicaciones de producción con corpus de mayor escala (más de 1 millón de vectores), bases de datos distribuidas como Weaviate, Pinecone, o Milvus se vuelven necesarias para mantener latencias aceptables y capacidades de escalamiento horizontal.</w:t>
      </w:r>
    </w:p>
    <w:p>
      <w:pPr>
        <w:pStyle w:val="BodyText"/>
      </w:pPr>
      <w:r>
        <w:t xml:space="preserve">El rendimiento de bases de datos vectoriales depende críticamente de la infraestructura computacional utilizada. La aceleración GPU proporciona mejoras significativas (típicamente 10-50x) comparado con procesamiento CPU, especialmente para operaciones de generación de embeddings y búsquedas vectoriales masivas. Plataformas cloud con GPU (Google Colab, AWS SageMaker, Azure ML) ofrecen alternativas costo-efectivas para investigación y desarrollo, proporcionando acceso a hardware especializado sin inversión en infraestructura local.</w:t>
      </w:r>
    </w:p>
    <w:p>
      <w:pPr>
        <w:pStyle w:val="BodyText"/>
        <w:sectPr>
          <w:type w:val="nextPage"/>
        </w:sectPr>
      </w:pPr>
      <w:r>
        <w:t xml:space="preserve">Los requerimientos de almacenamiento escalan linealmente con la dimensionalidad de los embeddings y el tamaño del corpus. Modelos de menor dimensionalidad (384D) requieren aproximadamente 50% menos espacio que modelos de alta dimensionalidad (1536D) para el mismo corpus. Formatos de almacenamiento eficientes como Parquet permiten compresión adicional manteniendo tiempos de acceso aceptables. La gestión de memoria se vuelve crítica en corpus de gran escala, requiriendo estrategias de carga selectiva y caching inteligente para mantener rendimiento consistente.</w:t>
      </w:r>
    </w:p>
    <w:bookmarkEnd w:id="29"/>
    <w:bookmarkEnd w:id="30"/>
    <w:bookmarkEnd w:id="31"/>
    <w:sectPr>
      <w:footnotePr>
        <w:numRestart w:val="eachSect"/>
      </w:footnotePr>
    </w:sectPr>
    <w:p>
      <w:pPr>
        <w:pStyle w:val="Title"/>
      </w:pPr>
      <w:r>
        <w:t xml:space="preserve">Capítulo 4: Análisis Exploratorio de Datos</w:t>
      </w:r>
    </w:p>
    <w:bookmarkStart w:id="28" w:name="análisis-exploratorio-de-datos"/>
    <w:p>
      <w:pPr>
        <w:pStyle w:val="Heading1"/>
      </w:pPr>
      <w:r>
        <w:t xml:space="preserve">4. ANÁLISIS EXPLORATORIO DE DATOS</w:t>
      </w:r>
    </w:p>
    <w:bookmarkStart w:id="9" w:name="introducción"/>
    <w:p>
      <w:pPr>
        <w:pStyle w:val="Heading2"/>
      </w:pPr>
      <w:r>
        <w:t xml:space="preserve">4.1 Introducción</w:t>
      </w:r>
    </w:p>
    <w:p>
      <w:pPr>
        <w:pStyle w:val="FirstParagraph"/>
      </w:pPr>
      <w:r>
        <w:t xml:space="preserve">El análisis exploratorio que se presenta a continuación caracteriza el corpus completo de documentación técnica de Microsoft Azure y el dataset de preguntas de Microsoft Q&amp;A utilizado en esta investigación. Los datos fueron extraídos en diciembre de 2024, procesando íntegramente 62,417 documentos únicos de Microsoft Learn (Microsoft, 2025a) que generaron 187,031 chunks, junto con 13,436 preguntas reales de usuarios de Microsoft Q&amp;A (Microsoft, 2025b).</w:t>
      </w:r>
    </w:p>
    <w:p>
      <w:pPr>
        <w:pStyle w:val="BodyText"/>
      </w:pPr>
      <w:r>
        <w:t xml:space="preserve">La completitud del análisis es un aspecto fundamental: todas las métricas reportadas se calcularon sobre el 100% del corpus disponible, sin muestreo ni extrapolaciones. Esta exhaustividad permite establecer una línea base confiable para evaluar el desempeño del sistema RAG desarrollado.</w:t>
      </w:r>
    </w:p>
    <w:bookmarkEnd w:id="9"/>
    <w:bookmarkStart w:id="20" w:name="características-del-corpus-de-documentos"/>
    <w:p>
      <w:pPr>
        <w:pStyle w:val="Heading2"/>
      </w:pPr>
      <w:r>
        <w:t xml:space="preserve">4.2 Características del Corpus de Documentos</w:t>
      </w:r>
    </w:p>
    <w:bookmarkStart w:id="10" w:name="composición-general-del-corpus"/>
    <w:p>
      <w:pPr>
        <w:pStyle w:val="Heading3"/>
      </w:pPr>
      <w:r>
        <w:t xml:space="preserve">4.2.1 Composición General del Corpus</w:t>
      </w:r>
    </w:p>
    <w:p>
      <w:pPr>
        <w:pStyle w:val="FirstParagraph"/>
      </w:pPr>
      <w:r>
        <w:t xml:space="preserve">El corpus de documentación técnica de Microsoft Azure comprende 62,417 documentos únicos extraídos de Microsoft Learn durante diciembre de 2024. La segmentación de estos documentos generó 187,031 chunks procesables para indexación vectorial, lo que representa un ratio promedio de 3.0 chunks por documento. Esta fragmentación fue necesaria dado que muchos documentos técnicos de Azure exceden las capacidades de ventana contextual de los modelos de embedding utilizados. Todo el contenido está en inglés técnico especializado, reflejando el idioma predominante en la documentación oficial de Microsoft.</w:t>
      </w:r>
    </w:p>
    <w:bookmarkEnd w:id="10"/>
    <w:bookmarkStart w:id="14" w:name="análisis-de-longitud-de-documentos"/>
    <w:p>
      <w:pPr>
        <w:pStyle w:val="Heading3"/>
      </w:pPr>
      <w:r>
        <w:t xml:space="preserve">4.2.2 Análisis de Longitud de Documentos</w:t>
      </w:r>
    </w:p>
    <w:bookmarkStart w:id="11" w:name="estadísticas-de-chunks"/>
    <w:p>
      <w:pPr>
        <w:pStyle w:val="Heading4"/>
      </w:pPr>
      <w:r>
        <w:t xml:space="preserve">Estadísticas de Chunks</w:t>
      </w:r>
    </w:p>
    <w:p>
      <w:pPr>
        <w:pStyle w:val="FirstParagraph"/>
      </w:pPr>
      <w:r>
        <w:t xml:space="preserve">El análisis completo de los 187,031 chunks mediante tokenización cl100k_base (OpenAI, 2025) reveló las siguientes características: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779.0 tokens</w:t>
            </w:r>
          </w:p>
        </w:tc>
      </w:tr>
      <w:tr>
        <w:tc>
          <w:tcPr/>
          <w:p>
            <w:pPr>
              <w:pStyle w:val="Compact"/>
            </w:pPr>
            <w:r>
              <w:t xml:space="preserve">Mediana</w:t>
            </w:r>
          </w:p>
        </w:tc>
        <w:tc>
          <w:tcPr/>
          <w:p>
            <w:pPr>
              <w:pStyle w:val="Compact"/>
            </w:pPr>
            <w:r>
              <w:t xml:space="preserve">876.0 tokens</w:t>
            </w:r>
          </w:p>
        </w:tc>
      </w:tr>
      <w:tr>
        <w:tc>
          <w:tcPr/>
          <w:p>
            <w:pPr>
              <w:pStyle w:val="Compact"/>
            </w:pPr>
            <w:r>
              <w:t xml:space="preserve">Desviación estándar</w:t>
            </w:r>
          </w:p>
        </w:tc>
        <w:tc>
          <w:tcPr/>
          <w:p>
            <w:pPr>
              <w:pStyle w:val="Compact"/>
            </w:pPr>
            <w:r>
              <w:t xml:space="preserve">298.6 tokens</w:t>
            </w:r>
          </w:p>
        </w:tc>
      </w:tr>
      <w:tr>
        <w:tc>
          <w:tcPr/>
          <w:p>
            <w:pPr>
              <w:pStyle w:val="Compact"/>
            </w:pPr>
            <w:r>
              <w:t xml:space="preserve">Mínimo</w:t>
            </w:r>
          </w:p>
        </w:tc>
        <w:tc>
          <w:tcPr/>
          <w:p>
            <w:pPr>
              <w:pStyle w:val="Compact"/>
            </w:pPr>
            <w:r>
              <w:t xml:space="preserve">1 token</w:t>
            </w:r>
          </w:p>
        </w:tc>
      </w:tr>
      <w:tr>
        <w:tc>
          <w:tcPr/>
          <w:p>
            <w:pPr>
              <w:pStyle w:val="Compact"/>
            </w:pPr>
            <w:r>
              <w:t xml:space="preserve">Máximo</w:t>
            </w:r>
          </w:p>
        </w:tc>
        <w:tc>
          <w:tcPr/>
          <w:p>
            <w:pPr>
              <w:pStyle w:val="Compact"/>
            </w:pPr>
            <w:r>
              <w:t xml:space="preserve">2,155 tokens</w:t>
            </w:r>
          </w:p>
        </w:tc>
      </w:tr>
      <w:tr>
        <w:tc>
          <w:tcPr/>
          <w:p>
            <w:pPr>
              <w:pStyle w:val="Compact"/>
            </w:pPr>
            <w:r>
              <w:t xml:space="preserve">Q1 (25%)</w:t>
            </w:r>
          </w:p>
        </w:tc>
        <w:tc>
          <w:tcPr/>
          <w:p>
            <w:pPr>
              <w:pStyle w:val="Compact"/>
            </w:pPr>
            <w:r>
              <w:t xml:space="preserve">633 tokens</w:t>
            </w:r>
          </w:p>
        </w:tc>
      </w:tr>
      <w:tr>
        <w:tc>
          <w:tcPr/>
          <w:p>
            <w:pPr>
              <w:pStyle w:val="Compact"/>
            </w:pPr>
            <w:r>
              <w:t xml:space="preserve">Q3 (75%)</w:t>
            </w:r>
          </w:p>
        </w:tc>
        <w:tc>
          <w:tcPr/>
          <w:p>
            <w:pPr>
              <w:pStyle w:val="Compact"/>
            </w:pPr>
            <w:r>
              <w:t xml:space="preserve">1,004 tokens</w:t>
            </w:r>
          </w:p>
        </w:tc>
      </w:tr>
      <w:tr>
        <w:tc>
          <w:tcPr/>
          <w:p>
            <w:pPr>
              <w:pStyle w:val="Compact"/>
            </w:pPr>
            <w:r>
              <w:t xml:space="preserve">Coeficiente de variación</w:t>
            </w:r>
          </w:p>
        </w:tc>
        <w:tc>
          <w:tcPr/>
          <w:p>
            <w:pPr>
              <w:pStyle w:val="Compact"/>
            </w:pPr>
            <w:r>
              <w:t xml:space="preserve">38.3%</w:t>
            </w:r>
          </w:p>
        </w:tc>
      </w:tr>
    </w:tbl>
    <w:p>
      <w:pPr>
        <w:pStyle w:val="BodyText"/>
      </w:pPr>
      <w:r>
        <w:t xml:space="preserve"> </w:t>
      </w:r>
      <w:r>
        <w:t xml:space="preserve"> </w:t>
      </w:r>
      <w:r>
        <w:t xml:space="preserve">Figura 4.1:</w:t>
      </w:r>
      <w:r>
        <w:t xml:space="preserve"> </w:t>
      </w:r>
      <w:r>
        <w:t xml:space="preserve">Distribución de longitud de chunks del corpus Microsoft Azure Documentation. Análisis completo de 187,031 chunks con tokenización cl100k_base.</w:t>
      </w:r>
    </w:p>
    <w:bookmarkEnd w:id="11"/>
    <w:bookmarkStart w:id="12" w:name="estadísticas-de-documentos-completos"/>
    <w:p>
      <w:pPr>
        <w:pStyle w:val="Heading4"/>
      </w:pPr>
      <w:r>
        <w:t xml:space="preserve">Estadísticas de Documentos Completos</w:t>
      </w:r>
    </w:p>
    <w:p>
      <w:pPr>
        <w:pStyle w:val="FirstParagraph"/>
      </w:pPr>
      <w:r>
        <w:t xml:space="preserve">Los documentos completos antes de la segmentación presentan características diferentes: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2,334.3 tokens</w:t>
            </w:r>
          </w:p>
        </w:tc>
      </w:tr>
      <w:tr>
        <w:tc>
          <w:tcPr/>
          <w:p>
            <w:pPr>
              <w:pStyle w:val="Compact"/>
            </w:pPr>
            <w:r>
              <w:t xml:space="preserve">Mediana</w:t>
            </w:r>
          </w:p>
        </w:tc>
        <w:tc>
          <w:tcPr/>
          <w:p>
            <w:pPr>
              <w:pStyle w:val="Compact"/>
            </w:pPr>
            <w:r>
              <w:t xml:space="preserve">1,160.0 tokens</w:t>
            </w:r>
          </w:p>
        </w:tc>
      </w:tr>
      <w:tr>
        <w:tc>
          <w:tcPr/>
          <w:p>
            <w:pPr>
              <w:pStyle w:val="Compact"/>
            </w:pPr>
            <w:r>
              <w:t xml:space="preserve">Desviación estándar</w:t>
            </w:r>
          </w:p>
        </w:tc>
        <w:tc>
          <w:tcPr/>
          <w:p>
            <w:pPr>
              <w:pStyle w:val="Compact"/>
            </w:pPr>
            <w:r>
              <w:t xml:space="preserve">4,685.6 tokens</w:t>
            </w:r>
          </w:p>
        </w:tc>
      </w:tr>
      <w:tr>
        <w:tc>
          <w:tcPr/>
          <w:p>
            <w:pPr>
              <w:pStyle w:val="Compact"/>
            </w:pPr>
            <w:r>
              <w:t xml:space="preserve">Mínimo</w:t>
            </w:r>
          </w:p>
        </w:tc>
        <w:tc>
          <w:tcPr/>
          <w:p>
            <w:pPr>
              <w:pStyle w:val="Compact"/>
            </w:pPr>
            <w:r>
              <w:t xml:space="preserve">3 tokens</w:t>
            </w:r>
          </w:p>
        </w:tc>
      </w:tr>
      <w:tr>
        <w:tc>
          <w:tcPr/>
          <w:p>
            <w:pPr>
              <w:pStyle w:val="Compact"/>
            </w:pPr>
            <w:r>
              <w:t xml:space="preserve">Máximo</w:t>
            </w:r>
          </w:p>
        </w:tc>
        <w:tc>
          <w:tcPr/>
          <w:p>
            <w:pPr>
              <w:pStyle w:val="Compact"/>
            </w:pPr>
            <w:r>
              <w:t xml:space="preserve">145,040 tokens</w:t>
            </w:r>
          </w:p>
        </w:tc>
      </w:tr>
      <w:tr>
        <w:tc>
          <w:tcPr/>
          <w:p>
            <w:pPr>
              <w:pStyle w:val="Compact"/>
            </w:pPr>
            <w:r>
              <w:t xml:space="preserve">Q1 (25%)</w:t>
            </w:r>
          </w:p>
        </w:tc>
        <w:tc>
          <w:tcPr/>
          <w:p>
            <w:pPr>
              <w:pStyle w:val="Compact"/>
            </w:pPr>
            <w:r>
              <w:t xml:space="preserve">591 tokens</w:t>
            </w:r>
          </w:p>
        </w:tc>
      </w:tr>
      <w:tr>
        <w:tc>
          <w:tcPr/>
          <w:p>
            <w:pPr>
              <w:pStyle w:val="Compact"/>
            </w:pPr>
            <w:r>
              <w:t xml:space="preserve">Q3 (75%)</w:t>
            </w:r>
          </w:p>
        </w:tc>
        <w:tc>
          <w:tcPr/>
          <w:p>
            <w:pPr>
              <w:pStyle w:val="Compact"/>
            </w:pPr>
            <w:r>
              <w:t xml:space="preserve">2,308 tokens</w:t>
            </w:r>
          </w:p>
        </w:tc>
      </w:tr>
      <w:tr>
        <w:tc>
          <w:tcPr/>
          <w:p>
            <w:pPr>
              <w:pStyle w:val="Compact"/>
            </w:pPr>
            <w:r>
              <w:t xml:space="preserve">Coeficiente de variación</w:t>
            </w:r>
          </w:p>
        </w:tc>
        <w:tc>
          <w:tcPr/>
          <w:p>
            <w:pPr>
              <w:pStyle w:val="Compact"/>
            </w:pPr>
            <w:r>
              <w:t xml:space="preserve">200.7%</w:t>
            </w:r>
          </w:p>
        </w:tc>
      </w:tr>
    </w:tbl>
    <w:p>
      <w:pPr>
        <w:pStyle w:val="BodyText"/>
      </w:pPr>
      <w:r>
        <w:t xml:space="preserve"> </w:t>
      </w:r>
      <w:r>
        <w:t xml:space="preserve"> </w:t>
      </w:r>
      <w:r>
        <w:t xml:space="preserve">Figura 4.2:</w:t>
      </w:r>
      <w:r>
        <w:t xml:space="preserve"> </w:t>
      </w:r>
      <w:r>
        <w:t xml:space="preserve">Comparación de longitudes entre chunks segmentados y documentos completos. Box plots mostrando la reducción de variabilidad lograda mediante segmentación (CV de 200.7% a 38.3%).</w:t>
      </w:r>
    </w:p>
    <w:bookmarkEnd w:id="12"/>
    <w:bookmarkStart w:id="13" w:name="interpretación-de-la-distribución"/>
    <w:p>
      <w:pPr>
        <w:pStyle w:val="Heading4"/>
      </w:pPr>
      <w:r>
        <w:t xml:space="preserve">Interpretación de la Distribución</w:t>
      </w:r>
    </w:p>
    <w:p>
      <w:pPr>
        <w:pStyle w:val="FirstParagraph"/>
      </w:pPr>
      <w:r>
        <w:t xml:space="preserve">La distribución de longitudes presenta varias características relevantes para el diseño del sistema RAG:</w:t>
      </w:r>
    </w:p>
    <w:p>
      <w:pPr>
        <w:pStyle w:val="BodyText"/>
      </w:pPr>
      <w:r>
        <w:rPr>
          <w:b/>
          <w:bCs/>
        </w:rPr>
        <w:t xml:space="preserve">Sesgo positivo en chunks</w:t>
      </w:r>
      <w:r>
        <w:t xml:space="preserve">: La media (779.0) es inferior a la mediana (876.0), indicando una distribución asimétrica con concentración hacia valores intermedios y una cola de chunks cortos que reducen la media. Este fenómeno es esperado en corpus técnicos que incluyen tanto elementos estructurales breves (headers, metadata) como secciones técnicas detalladas.</w:t>
      </w:r>
    </w:p>
    <w:p>
      <w:pPr>
        <w:pStyle w:val="BodyText"/>
      </w:pPr>
      <w:r>
        <w:rPr>
          <w:b/>
          <w:bCs/>
        </w:rPr>
        <w:t xml:space="preserve">Rango óptimo para embeddings</w:t>
      </w:r>
      <w:r>
        <w:t xml:space="preserve">: El 50% central de los chunks (entre Q1 y Q3) se encuentra en el rango 633-1,004 tokens, compatible con modelos de embedding modernos que típicamente procesan ventanas contextuales de 512-2048 tokens eficientemente. Esta concentración en un rango favorable minimiza la necesidad de truncamiento o padding excesivo.</w:t>
      </w:r>
    </w:p>
    <w:p>
      <w:pPr>
        <w:pStyle w:val="BodyText"/>
      </w:pPr>
      <w:r>
        <w:rPr>
          <w:b/>
          <w:bCs/>
        </w:rPr>
        <w:t xml:space="preserve">Alta diversidad documental</w:t>
      </w:r>
      <w:r>
        <w:t xml:space="preserve">: El coeficiente de variación de 200.7% en documentos completos refleja la naturaleza multifacética de la documentación Azure, que abarca desde guías rápidas hasta especificaciones técnicas exhaustivas de arquitecturas empresariales complejas. Esta variabilidad justifica la estrategia de segmentación adoptada.</w:t>
      </w:r>
    </w:p>
    <w:p>
      <w:pPr>
        <w:pStyle w:val="BodyText"/>
      </w:pPr>
      <w:r>
        <w:rPr>
          <w:b/>
          <w:bCs/>
        </w:rPr>
        <w:t xml:space="preserve">Variabilidad controlada en chunks</w:t>
      </w:r>
      <w:r>
        <w:t xml:space="preserve">: El CV de 38.3% en chunks indica que la segmentación logró reducir significativamente la variabilidad (de 200.7% a 38.3%), manteniendo consistencia en la calidad de los embeddings sin perder riqueza semántica del contenido técnico.</w:t>
      </w:r>
    </w:p>
    <w:bookmarkEnd w:id="13"/>
    <w:bookmarkEnd w:id="14"/>
    <w:bookmarkStart w:id="15" w:name="distribución-temática-del-corpus"/>
    <w:p>
      <w:pPr>
        <w:pStyle w:val="Heading3"/>
      </w:pPr>
      <w:r>
        <w:t xml:space="preserve">4.2.3 Distribución Temática del Corpus</w:t>
      </w:r>
    </w:p>
    <w:p>
      <w:pPr>
        <w:pStyle w:val="FirstParagraph"/>
      </w:pPr>
      <w:r>
        <w:t xml:space="preserve">La clasificación temática se realizó mediante análisis de contenido basado en keywords con un sistema de puntuación ponderada, procesando la totalidad de los 187,031 chunks del corpus. Este análisis exhaustivo garantiza que las distribuciones temáticas reportadas reflejan fielmente la composición real del corpus sin sesgos de muestreo. Los criterios de clasificación establecieron cuatro categorías principales: Development agrupa contenido relacionado con código, APIs, SDKs y frameworks de desarrollo; Operations engloba deployment, monitoreo, administración y troubleshooting; Security cubre autenticación, autorización, compliance y encriptación; y Azure Services documenta servicios específicos de Azure con sus configuraciones y características particulares.</w:t>
      </w:r>
    </w:p>
    <w:p>
      <w:pPr>
        <w:pStyle w:val="BodyText"/>
      </w:pPr>
      <w:r>
        <w:t xml:space="preserve">El análisis completo del corpus reveló la siguiente distribución temática: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Chunks</w:t>
            </w:r>
          </w:p>
        </w:tc>
        <w:tc>
          <w:tcPr/>
          <w:p>
            <w:pPr>
              <w:pStyle w:val="Compact"/>
            </w:pPr>
            <w:r>
              <w:t xml:space="preserve">Porcentaje</w:t>
            </w:r>
          </w:p>
        </w:tc>
      </w:tr>
      <w:tr>
        <w:tc>
          <w:tcPr/>
          <w:p>
            <w:pPr>
              <w:pStyle w:val="Compact"/>
            </w:pPr>
            <w:r>
              <w:rPr>
                <w:b/>
                <w:bCs/>
              </w:rPr>
              <w:t xml:space="preserve">Development</w:t>
            </w:r>
          </w:p>
        </w:tc>
        <w:tc>
          <w:tcPr/>
          <w:p>
            <w:pPr>
              <w:pStyle w:val="Compact"/>
            </w:pPr>
            <w:r>
              <w:t xml:space="preserve">98,584</w:t>
            </w:r>
          </w:p>
        </w:tc>
        <w:tc>
          <w:tcPr/>
          <w:p>
            <w:pPr>
              <w:pStyle w:val="Compact"/>
            </w:pPr>
            <w:r>
              <w:t xml:space="preserve">53.6%</w:t>
            </w:r>
          </w:p>
        </w:tc>
      </w:tr>
      <w:tr>
        <w:tc>
          <w:tcPr/>
          <w:p>
            <w:pPr>
              <w:pStyle w:val="Compact"/>
            </w:pPr>
            <w:r>
              <w:rPr>
                <w:b/>
                <w:bCs/>
              </w:rPr>
              <w:t xml:space="preserve">Security</w:t>
            </w:r>
          </w:p>
        </w:tc>
        <w:tc>
          <w:tcPr/>
          <w:p>
            <w:pPr>
              <w:pStyle w:val="Compact"/>
            </w:pPr>
            <w:r>
              <w:t xml:space="preserve">52,667</w:t>
            </w:r>
          </w:p>
        </w:tc>
        <w:tc>
          <w:tcPr/>
          <w:p>
            <w:pPr>
              <w:pStyle w:val="Compact"/>
            </w:pPr>
            <w:r>
              <w:t xml:space="preserve">28.6%</w:t>
            </w:r>
          </w:p>
        </w:tc>
      </w:tr>
      <w:tr>
        <w:tc>
          <w:tcPr/>
          <w:p>
            <w:pPr>
              <w:pStyle w:val="Compact"/>
            </w:pPr>
            <w:r>
              <w:rPr>
                <w:b/>
                <w:bCs/>
              </w:rPr>
              <w:t xml:space="preserve">Operations</w:t>
            </w:r>
          </w:p>
        </w:tc>
        <w:tc>
          <w:tcPr/>
          <w:p>
            <w:pPr>
              <w:pStyle w:val="Compact"/>
            </w:pPr>
            <w:r>
              <w:t xml:space="preserve">21,882</w:t>
            </w:r>
          </w:p>
        </w:tc>
        <w:tc>
          <w:tcPr/>
          <w:p>
            <w:pPr>
              <w:pStyle w:val="Compact"/>
            </w:pPr>
            <w:r>
              <w:t xml:space="preserve">11.9%</w:t>
            </w:r>
          </w:p>
        </w:tc>
      </w:tr>
      <w:tr>
        <w:tc>
          <w:tcPr/>
          <w:p>
            <w:pPr>
              <w:pStyle w:val="Compact"/>
            </w:pPr>
            <w:r>
              <w:rPr>
                <w:b/>
                <w:bCs/>
              </w:rPr>
              <w:t xml:space="preserve">Azure Services</w:t>
            </w:r>
          </w:p>
        </w:tc>
        <w:tc>
          <w:tcPr/>
          <w:p>
            <w:pPr>
              <w:pStyle w:val="Compact"/>
            </w:pPr>
            <w:r>
              <w:t xml:space="preserve">10,754</w:t>
            </w:r>
          </w:p>
        </w:tc>
        <w:tc>
          <w:tcPr/>
          <w:p>
            <w:pPr>
              <w:pStyle w:val="Compact"/>
            </w:pPr>
            <w:r>
              <w:t xml:space="preserve">5.8%</w:t>
            </w:r>
          </w:p>
        </w:tc>
      </w:tr>
    </w:tbl>
    <w:p>
      <w:pPr>
        <w:pStyle w:val="BodyText"/>
      </w:pPr>
      <w:r>
        <w:t xml:space="preserve"> </w:t>
      </w:r>
      <w:r>
        <w:t xml:space="preserve"> </w:t>
      </w:r>
      <w:r>
        <w:t xml:space="preserve">Figura 4.3:</w:t>
      </w:r>
      <w:r>
        <w:t xml:space="preserve"> </w:t>
      </w:r>
      <w:r>
        <w:t xml:space="preserve">Distribución temática del corpus Microsoft Azure Documentation. Análisis completo de 187,031 chunks clasificados en cuatro categorías principales mediante sistema de puntuación ponderada basado en keywords.</w:t>
      </w:r>
    </w:p>
    <w:p>
      <w:pPr>
        <w:pStyle w:val="BodyText"/>
      </w:pPr>
      <w:r>
        <w:t xml:space="preserve">La orientación técnica predominante hacia desarrollo de software (53.6%) es consistente con el propósito de la documentación oficial de Microsoft Learn, diseñada principalmente para desarrolladores, arquitectos e ingenieros que implementan soluciones técnicas. La significativa presencia de contenido de seguridad (28.6%) refleja la importancia crítica de este aspecto en implementaciones empresariales cloud. Las categorías de Operations (11.9%) y Azure Services (5.8%) complementan el corpus con información operacional y de servicios específicos. El contenido abarca múltiples dominios técnicos, proporcionando cobertura adecuada para consultas técnicas en diferentes áreas de la plataforma. Las cuatro categorías cubren el 99.9% del contenido total, indicando una clasificación exhaustiva sin fragmentación excesiva.</w:t>
      </w:r>
    </w:p>
    <w:bookmarkEnd w:id="15"/>
    <w:bookmarkStart w:id="19" w:name="análisis-de-calidad-del-corpus"/>
    <w:p>
      <w:pPr>
        <w:pStyle w:val="Heading3"/>
      </w:pPr>
      <w:r>
        <w:t xml:space="preserve">4.2.4 Análisis de Calidad del Corpus</w:t>
      </w:r>
    </w:p>
    <w:bookmarkStart w:id="16" w:name="cobertura-y-completitud"/>
    <w:p>
      <w:pPr>
        <w:pStyle w:val="Heading4"/>
      </w:pPr>
      <w:r>
        <w:t xml:space="preserve">Cobertura y Completitud</w:t>
      </w:r>
    </w:p>
    <w:p>
      <w:pPr>
        <w:pStyle w:val="FirstParagraph"/>
      </w:pPr>
      <w:r>
        <w:t xml:space="preserve">La cobertura del corpus es sustancial, procesando exitosamente 62,417 documentos únicos de Microsoft Learn relacionados con Azure. Los 62,417 documentos procesados generaron 187,031 chunks sin pérdida de documentos en la segmentación (100% de tasa de éxito). La pérdida de información textual es mínima y se atribuye principalmente a limitaciones en el parsing de contenido multimedia como imágenes, diagramas arquitectónicos, videos y componentes interactivos que no fueron capturados en el corpus textual.</w:t>
      </w:r>
    </w:p>
    <w:bookmarkEnd w:id="16"/>
    <w:bookmarkStart w:id="17" w:name="calidad-de-contenido"/>
    <w:p>
      <w:pPr>
        <w:pStyle w:val="Heading4"/>
      </w:pPr>
      <w:r>
        <w:t xml:space="preserve">Calidad de Contenido</w:t>
      </w:r>
    </w:p>
    <w:p>
      <w:pPr>
        <w:pStyle w:val="FirstParagraph"/>
      </w:pPr>
      <w:r>
        <w:t xml:space="preserve">Varios indicadores confirman la alta calidad del corpus. La longitud promedio de 779.0 tokens por chunk indica contenido sustancial con profundidad técnica adecuada. La desviación estándar de 298.6 tokens sugiere consistencia en la profundidad del contenido, evitando tanto chunks excesivamente fragmentados como chunks demasiado extensos que dificulten el procesamiento. La actualidad del corpus, extraído en diciembre de 2024, garantiza que refleja el estado actual de la plataforma Azure con sus servicios y capacidades más recientes.</w:t>
      </w:r>
    </w:p>
    <w:bookmarkEnd w:id="17"/>
    <w:bookmarkStart w:id="18" w:name="identificación-de-limitaciones"/>
    <w:p>
      <w:pPr>
        <w:pStyle w:val="Heading4"/>
      </w:pPr>
      <w:r>
        <w:t xml:space="preserve">Identificación de Limitaciones</w:t>
      </w:r>
    </w:p>
    <w:p>
      <w:pPr>
        <w:pStyle w:val="FirstParagraph"/>
      </w:pPr>
      <w:r>
        <w:t xml:space="preserve">El corpus presenta limitaciones inherentes que deben considerarse en la interpretación de resultados. La más significativa es la exclusión de contenido multimodal: imágenes, diagramas arquitectónicos, videos tutoriales y herramientas interactivas constituyen una porción sustancial del contenido original de Microsoft Learn pero no fueron capturados en el corpus textual.</w:t>
      </w:r>
    </w:p>
    <w:p>
      <w:pPr>
        <w:pStyle w:val="BodyText"/>
      </w:pPr>
      <w:r>
        <w:t xml:space="preserve">Adicionalmente, el corpus está limitado al inglés, excluyendo documentación localizada que podría contener adaptaciones culturales o ejemplos regionales específicos. Temporalmente, el corpus representa un snapshot de diciembre de 2024 y no captura la evolución posterior de la plataforma Azure. Finalmente, el formato de texto plano pierde estructura visual, jerarquía de información y elementos de navegación que son parte integral de la experiencia de documentación en Microsoft Learn.</w:t>
      </w:r>
    </w:p>
    <w:bookmarkEnd w:id="18"/>
    <w:bookmarkEnd w:id="19"/>
    <w:bookmarkEnd w:id="20"/>
    <w:bookmarkStart w:id="26" w:name="características-del-dataset-de-preguntas"/>
    <w:p>
      <w:pPr>
        <w:pStyle w:val="Heading2"/>
      </w:pPr>
      <w:r>
        <w:t xml:space="preserve">4.3 Características del Dataset de Preguntas</w:t>
      </w:r>
    </w:p>
    <w:bookmarkStart w:id="21" w:name="composición-del-dataset-de-preguntas"/>
    <w:p>
      <w:pPr>
        <w:pStyle w:val="Heading3"/>
      </w:pPr>
      <w:r>
        <w:t xml:space="preserve">4.3.1 Composición del Dataset de Preguntas</w:t>
      </w:r>
    </w:p>
    <w:p>
      <w:pPr>
        <w:pStyle w:val="FirstParagraph"/>
      </w:pPr>
      <w:r>
        <w:t xml:space="preserve">El dataset de preguntas comprende 13,436 consultas reales extraídas de Microsoft Q&amp;A (Microsoft, 2025b), la plataforma comunitaria oficial de soporte técnico de Microsoft. De estas preguntas, 6,070 (45.2% del total) incluyen enlaces a documentación de Microsoft Learn en sus respuestas aceptadas. Sin embargo, al validar estos enlaces contra la base de datos de documentos indexados, solo 2,067 preguntas (15.4% del total, equivalente al 34.1% de las que tienen enlaces) corresponden a documentos efectivamente presentes en el corpus.</w:t>
      </w:r>
    </w:p>
    <w:p>
      <w:pPr>
        <w:pStyle w:val="BodyText"/>
      </w:pPr>
      <w:r>
        <w:t xml:space="preserve">Esta tasa de correspondencia del 34.1% establece el subconjunto con ground truth validado que permite evaluación rigurosa del sistema RAG. Las preguntas fueron recolectadas como datos históricos acumulados hasta diciembre de 2024, todas formuladas originalmente en inglés por usuarios reales enfrentando problemas técnicos concretos en la plataforma Azure.</w:t>
      </w:r>
    </w:p>
    <w:bookmarkEnd w:id="21"/>
    <w:bookmarkStart w:id="22" w:name="análisis-de-longitud-de-preguntas"/>
    <w:p>
      <w:pPr>
        <w:pStyle w:val="Heading3"/>
      </w:pPr>
      <w:r>
        <w:t xml:space="preserve">4.3.2 Análisis de Longitud de Preguntas</w:t>
      </w:r>
    </w:p>
    <w:p>
      <w:pPr>
        <w:pStyle w:val="FirstParagraph"/>
      </w:pPr>
      <w:r>
        <w:t xml:space="preserve">El análisis de longitud mediante tokenización cl100k_base (OpenAI, 2025) del dataset de 13,436 preguntas reveló las siguientes características: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153.5 tokens</w:t>
            </w:r>
          </w:p>
        </w:tc>
      </w:tr>
      <w:tr>
        <w:tc>
          <w:tcPr/>
          <w:p>
            <w:pPr>
              <w:pStyle w:val="Compact"/>
            </w:pPr>
            <w:r>
              <w:t xml:space="preserve">Mediana</w:t>
            </w:r>
          </w:p>
        </w:tc>
        <w:tc>
          <w:tcPr/>
          <w:p>
            <w:pPr>
              <w:pStyle w:val="Compact"/>
            </w:pPr>
            <w:r>
              <w:t xml:space="preserve">96.0 tokens</w:t>
            </w:r>
          </w:p>
        </w:tc>
      </w:tr>
      <w:tr>
        <w:tc>
          <w:tcPr/>
          <w:p>
            <w:pPr>
              <w:pStyle w:val="Compact"/>
            </w:pPr>
            <w:r>
              <w:t xml:space="preserve">Desviación estándar</w:t>
            </w:r>
          </w:p>
        </w:tc>
        <w:tc>
          <w:tcPr/>
          <w:p>
            <w:pPr>
              <w:pStyle w:val="Compact"/>
            </w:pPr>
            <w:r>
              <w:t xml:space="preserve">258.1 tokens</w:t>
            </w:r>
          </w:p>
        </w:tc>
      </w:tr>
      <w:tr>
        <w:tc>
          <w:tcPr/>
          <w:p>
            <w:pPr>
              <w:pStyle w:val="Compact"/>
            </w:pPr>
            <w:r>
              <w:t xml:space="preserve">Mínimo</w:t>
            </w:r>
          </w:p>
        </w:tc>
        <w:tc>
          <w:tcPr/>
          <w:p>
            <w:pPr>
              <w:pStyle w:val="Compact"/>
            </w:pPr>
            <w:r>
              <w:t xml:space="preserve">1 token</w:t>
            </w:r>
          </w:p>
        </w:tc>
      </w:tr>
      <w:tr>
        <w:tc>
          <w:tcPr/>
          <w:p>
            <w:pPr>
              <w:pStyle w:val="Compact"/>
            </w:pPr>
            <w:r>
              <w:t xml:space="preserve">Máximo</w:t>
            </w:r>
          </w:p>
        </w:tc>
        <w:tc>
          <w:tcPr/>
          <w:p>
            <w:pPr>
              <w:pStyle w:val="Compact"/>
            </w:pPr>
            <w:r>
              <w:t xml:space="preserve">8,304 tokens</w:t>
            </w:r>
          </w:p>
        </w:tc>
      </w:tr>
      <w:tr>
        <w:tc>
          <w:tcPr/>
          <w:p>
            <w:pPr>
              <w:pStyle w:val="Compact"/>
            </w:pPr>
            <w:r>
              <w:t xml:space="preserve">Q1 (25%)</w:t>
            </w:r>
          </w:p>
        </w:tc>
        <w:tc>
          <w:tcPr/>
          <w:p>
            <w:pPr>
              <w:pStyle w:val="Compact"/>
            </w:pPr>
            <w:r>
              <w:t xml:space="preserve">56 tokens</w:t>
            </w:r>
          </w:p>
        </w:tc>
      </w:tr>
      <w:tr>
        <w:tc>
          <w:tcPr/>
          <w:p>
            <w:pPr>
              <w:pStyle w:val="Compact"/>
            </w:pPr>
            <w:r>
              <w:t xml:space="preserve">Q3 (75%)</w:t>
            </w:r>
          </w:p>
        </w:tc>
        <w:tc>
          <w:tcPr/>
          <w:p>
            <w:pPr>
              <w:pStyle w:val="Compact"/>
            </w:pPr>
            <w:r>
              <w:t xml:space="preserve">168 tokens</w:t>
            </w:r>
          </w:p>
        </w:tc>
      </w:tr>
      <w:tr>
        <w:tc>
          <w:tcPr/>
          <w:p>
            <w:pPr>
              <w:pStyle w:val="Compact"/>
            </w:pPr>
            <w:r>
              <w:t xml:space="preserve">Coeficiente de variación</w:t>
            </w:r>
          </w:p>
        </w:tc>
        <w:tc>
          <w:tcPr/>
          <w:p>
            <w:pPr>
              <w:pStyle w:val="Compact"/>
            </w:pPr>
            <w:r>
              <w:t xml:space="preserve">168.1%</w:t>
            </w:r>
          </w:p>
        </w:tc>
      </w:tr>
    </w:tbl>
    <w:p>
      <w:pPr>
        <w:pStyle w:val="BodyText"/>
      </w:pPr>
      <w:r>
        <w:t xml:space="preserve"> </w:t>
      </w:r>
      <w:r>
        <w:t xml:space="preserve"> </w:t>
      </w:r>
      <w:r>
        <w:t xml:space="preserve">Figura 4.4:</w:t>
      </w:r>
      <w:r>
        <w:t xml:space="preserve"> </w:t>
      </w:r>
      <w:r>
        <w:t xml:space="preserve">Distribución de longitud de preguntas del dataset Microsoft Q&amp;A. Análisis de 13,436 preguntas con tokenización cl100k_base mostrando alta variabilidad (CV = 168.1%).</w:t>
      </w:r>
    </w:p>
    <w:p>
      <w:pPr>
        <w:pStyle w:val="BodyText"/>
      </w:pPr>
      <w:r>
        <w:t xml:space="preserve">La distribución presenta alta variabilidad (coeficiente de variación de 168.1%), reflejando la diversidad en complejidad de las consultas: desde preguntas breves y directas hasta consultas extensas que incluyen contexto detallado, logs de error, o descripciones de configuraciones complejas. El rango intercuartílico muestra que el 50% central de las preguntas tiene entre 56 y 168 tokens (Q1-Q3), con una mediana de 96 tokens. Esta variabilidad es característica de foros técnicos donde usuarios con diferentes niveles de experiencia formulan preguntas con grados variables de detalle y especificidad.</w:t>
      </w:r>
    </w:p>
    <w:bookmarkEnd w:id="22"/>
    <w:bookmarkStart w:id="23" w:name="X107a50917c9c7d297c3a2f79dffbe9f8d58ed1b"/>
    <w:p>
      <w:pPr>
        <w:pStyle w:val="Heading3"/>
      </w:pPr>
      <w:r>
        <w:t xml:space="preserve">4.3.3 Características Cualitativas de las Preguntas</w:t>
      </w:r>
    </w:p>
    <w:p>
      <w:pPr>
        <w:pStyle w:val="FirstParagraph"/>
      </w:pPr>
      <w:r>
        <w:t xml:space="preserve">Mediante inspección visual del contenido textual de las 2,067 preguntas con ground truth validado, se identificaron cuatro patrones principales de consulta: preguntas procedurales caracterizadas por formulaciones tipo</w:t>
      </w:r>
      <w:r>
        <w:t xml:space="preserve"> </w:t>
      </w:r>
      <w:r>
        <w:t xml:space="preserve">“how-to”</w:t>
      </w:r>
      <w:r>
        <w:t xml:space="preserve"> </w:t>
      </w:r>
      <w:r>
        <w:t xml:space="preserve">y solicitudes de procedimientos específicos, consultas de troubleshooting identificadas por menciones de errores o problemas que requieren diagnóstico, preguntas conceptuales solicitando explicaciones de conceptos técnicos o diferencias entre servicios, y consultas de configuración centradas en especificación de parámetros y personalización de servicios. Esta observación cualitativa no incluyó anotación sistemática que permitiera cuantificar la distribución porcentual de cada tipo.</w:t>
      </w:r>
    </w:p>
    <w:p>
      <w:pPr>
        <w:pStyle w:val="BodyText"/>
      </w:pPr>
      <w:r>
        <w:t xml:space="preserve">La complejidad técnica de las consultas varía considerablemente según el número de servicios y conceptos Azure involucrados simultáneamente. Las consultas abarcan desde tareas directas sobre funcionalidades específicas hasta escenarios multi-servicio que integran aspectos de seguridad, networking, compute y storage. Esta diversidad refleja el espectro completo de necesidades de soporte técnico en la plataforma Azure, desde usuarios principiantes formulando preguntas básicas hasta arquitectos diseñando soluciones empresariales complejas.</w:t>
      </w:r>
    </w:p>
    <w:bookmarkEnd w:id="23"/>
    <w:bookmarkStart w:id="25" w:name="análisis-de-ground-truth"/>
    <w:p>
      <w:pPr>
        <w:pStyle w:val="Heading3"/>
      </w:pPr>
      <w:r>
        <w:t xml:space="preserve">4.3.4 Análisis de Ground Truth</w:t>
      </w:r>
    </w:p>
    <w:p>
      <w:pPr>
        <w:pStyle w:val="FirstParagraph"/>
      </w:pPr>
      <w:r>
        <w:t xml:space="preserve">Del total de 13,436 preguntas, 6,070 (45.2%) incluyen enlaces a Microsoft Learn en sus respuestas aceptadas. Al validar estos enlaces contra la base de datos de documentos indexados, 2,067 preguntas (15.4% del total, equivalente al 34.1% de las 6,070 con enlaces) tienen documentos correspondientes efectivamente presentes en el corpus. Estas 2,067 preguntas constituyen el ground truth validado que permite evaluación rigurosa del sistema RAG.</w:t>
      </w:r>
    </w:p>
    <w:p>
      <w:pPr>
        <w:pStyle w:val="BodyText"/>
      </w:pPr>
      <w:r>
        <w:t xml:space="preserve">Los 2,067 enlaces válidos referencian 1,669 URLs únicas normalizadas (eliminando fragmentos y parámetros de consulta). Esta multiplicidad (más preguntas que documentos únicos) indica que ciertos documentos fundamentales de Azure son referenciados por múltiples preguntas, reflejando tópicos de alto interés o servicios ampliamente utilizados. El subconjunto de 2,067 preguntas con correspondencia validada proporciona una base adecuada para evaluación estadística del sistema RAG, representando un 15.4% del dataset total con ground truth verificable.</w:t>
      </w:r>
    </w:p>
    <w:bookmarkStart w:id="24" w:name="limitaciones-del-ground-truth"/>
    <w:p>
      <w:pPr>
        <w:pStyle w:val="Heading4"/>
      </w:pPr>
      <w:r>
        <w:t xml:space="preserve">Limitaciones del Ground Truth</w:t>
      </w:r>
    </w:p>
    <w:p>
      <w:pPr>
        <w:pStyle w:val="FirstParagraph"/>
      </w:pPr>
      <w:r>
        <w:t xml:space="preserve">El ground truth presenta varias limitaciones que afectan el alcance de la evaluación. La cobertura parcial es la más evidente: solo 15.4% de preguntas tienen enlaces correspondientes a documentos en la base de datos. El filtrado estricto durante la validación excluye el 65.9% de enlaces MS Learn que no corresponden a documentos indexados.</w:t>
      </w:r>
    </w:p>
    <w:p>
      <w:pPr>
        <w:pStyle w:val="BodyText"/>
      </w:pPr>
      <w:r>
        <w:t xml:space="preserve">Existe también un sesgo de selección inherente: solo se consideraron enlaces en respuestas aceptadas por la comunidad, excluyendo potencialmente documentos relevantes mencionados en respuestas no aceptadas. El criterio adoptado considera un único documento relevante por pregunta, aunque en la práctica múltiples documentos podrían ser igualmente válidos para responder una consulta compleja.</w:t>
      </w:r>
    </w:p>
    <w:p>
      <w:pPr>
        <w:pStyle w:val="BodyText"/>
      </w:pPr>
      <w:r>
        <w:t xml:space="preserve">Finalmente, existe un riesgo temporal: los enlaces pueden volverse obsoletos conforme Microsoft actualiza y reorganiza su documentación Azure. Esta limitación es inherente a cualquier corpus basado en contenido técnico que evoluciona rápidamente.</w:t>
      </w:r>
    </w:p>
    <w:bookmarkEnd w:id="24"/>
    <w:bookmarkEnd w:id="25"/>
    <w:bookmarkEnd w:id="26"/>
    <w:bookmarkStart w:id="27" w:name="hallazgos-principales-del-eda"/>
    <w:p>
      <w:pPr>
        <w:pStyle w:val="Heading2"/>
      </w:pPr>
      <w:r>
        <w:t xml:space="preserve">4.4 Hallazgos Principales del EDA</w:t>
      </w:r>
    </w:p>
    <w:p>
      <w:pPr>
        <w:pStyle w:val="FirstParagraph"/>
      </w:pPr>
      <w:r>
        <w:t xml:space="preserve">El análisis exploratorio reveló que el corpus de documentación es apropiado para investigación en recuperación semántica de información técnica, con 62,417 documentos únicos, 779.0 tokens promedio por chunk, y distribución temática cuantificada en cuatro categorías principales (Development 53.6%, Security 28.6%, Operations 11.9%, Azure Services 5.8%). La variabilidad controlada (CV = 38.3%) evita fragmentación excesiva. Las limitaciones incluyen ausencia de contenido multimodal y necesidad de actualización continua dada la rápida evolución de Azure.</w:t>
      </w:r>
    </w:p>
    <w:p>
      <w:pPr>
        <w:pStyle w:val="BodyText"/>
      </w:pPr>
      <w:r>
        <w:t xml:space="preserve">El dataset de preguntas presenta diversidad apropiada con cuatro tipos principales de consulta (procedurales, troubleshooting, conceptuales, configuración) y complejidad variable. La autenticidad constituye un valor diferenciador: todas las preguntas provienen de usuarios reales. El ground truth validado comprende 2,067 preguntas (15.4% de las 13,436 usadas en evaluación), proporcionando cobertura adecuada para evaluación estadística. Las limitaciones principales son la cobertura parcial, sesgo temporal (datos hasta diciembre 2024), restricción a inglés, y criterio de un documento por pregunta que puede subestimar relevancia múltiple.</w:t>
      </w:r>
    </w:p>
    <w:p>
      <w:pPr>
        <w:pStyle w:val="BodyText"/>
      </w:pPr>
      <w:r>
        <w:t xml:space="preserve">Las implicaciones para el sistema RAG incluyen oportunidades derivadas de la especialización técnica (53.6% Development) y desafíos relacionados con la variabilidad documental (σ = 298.6 tokens) y complejidad de consultas multi-servicio que requieren comprensión contextual avanzada. La longitud promedio de 779.0 tokens por chunk es compatible con modelos de embedding modernos.</w:t>
      </w:r>
    </w:p>
    <w:p>
      <w:pPr>
        <w:pStyle w:val="BodyText"/>
        <w:sectPr>
          <w:type w:val="nextPage"/>
        </w:sectPr>
      </w:pPr>
      <w:r>
        <w:t xml:space="preserve">Comparado con corpus académicos estándar (MS-MARCO con 8.8M documentos de 100 tokens, Natural Questions con 307K documentos de 800 tokens, SQuAD 2.0 con 150K documentos de 500 tokens), el corpus MS-Azure se diferencia por mayor especialización técnica, documentos más sustanciales, autenticidad de documentación oficial, y actualidad. Estas características lo hacen apropiado para investigación académica en recuperación de información especializada, con ground truth validado por comunidad técnica y metodología reproducible.</w:t>
      </w:r>
    </w:p>
    <w:bookmarkEnd w:id="27"/>
    <w:bookmarkEnd w:id="28"/>
    <w:sectPr>
      <w:footnotePr>
        <w:numRestart w:val="eachSect"/>
      </w:footnotePr>
    </w:sectPr>
    <w:p>
      <w:pPr>
        <w:pStyle w:val="Title"/>
      </w:pPr>
      <w:r>
        <w:t xml:space="preserve">Capítulo 5: Metodología</w:t>
      </w:r>
    </w:p>
    <w:bookmarkStart w:id="38" w:name="metodología"/>
    <w:p>
      <w:pPr>
        <w:pStyle w:val="Heading1"/>
      </w:pPr>
      <w:r>
        <w:t xml:space="preserve">5. METODOLOGÍA</w:t>
      </w:r>
    </w:p>
    <w:bookmarkStart w:id="9" w:name="introducción"/>
    <w:p>
      <w:pPr>
        <w:pStyle w:val="Heading2"/>
      </w:pPr>
      <w:r>
        <w:t xml:space="preserve">5.1 Introducción</w:t>
      </w:r>
    </w:p>
    <w:p>
      <w:pPr>
        <w:pStyle w:val="FirstParagraph"/>
      </w:pPr>
      <w:r>
        <w:t xml:space="preserve">Este proyecto utiliza la metodología Design Science Research (DSR) de Peffers et al. (2007), enfoque estándar para investigación que crea y evalúa artefactos tecnológicos innovadores (Hevner et al., 2004). El diseño metodológico se enfoca en construir, implementar y evaluar un sistema RAG (Retrieval-Augmented Generation) especializado en documentación técnica, que para este proyecto se utiliza la documentación de Microsoft Azure.</w:t>
      </w:r>
    </w:p>
    <w:p>
      <w:pPr>
        <w:pStyle w:val="BodyText"/>
      </w:pPr>
      <w:r>
        <w:t xml:space="preserve">Este proyecto adopta un enfoque cuantitativo que permite evaluar de manera objetiva el rendimiento de la arquitectura propuesta. Para ello se utilizan métricas reconocidas y procedimientos estadísticos validados (Creswell &amp; Creswell, 2017). El diseño experimental compara diferentes configuraciones de la arquitectura, analizando cómo cada una influye en el desempeño general del sistema en términos de recuperación de información y calidad de las respuestas generadas. Todo el proceso se desarrolló bajo criterios de reproducibilidad, trazabilidad y validez científica.</w:t>
      </w:r>
    </w:p>
    <w:bookmarkEnd w:id="9"/>
    <w:bookmarkStart w:id="15" w:name="diseño-de-la-investigación"/>
    <w:p>
      <w:pPr>
        <w:pStyle w:val="Heading2"/>
      </w:pPr>
      <w:r>
        <w:t xml:space="preserve">5.2 Diseño de la Investigación</w:t>
      </w:r>
    </w:p>
    <w:bookmarkStart w:id="10" w:name="flujo-metodológico-del-proyecto"/>
    <w:p>
      <w:pPr>
        <w:pStyle w:val="Heading3"/>
      </w:pPr>
      <w:r>
        <w:t xml:space="preserve">5.2.1 Flujo Metodológico del Proyecto</w:t>
      </w:r>
    </w:p>
    <w:p>
      <w:pPr>
        <w:pStyle w:val="FirstParagraph"/>
      </w:pPr>
      <w:r>
        <w:t xml:space="preserve">El siguiente diagrama presenta una vista integral del flujo metodológico empleado en este proyecto, mostrando las fases principales, sus interrelaciones y los entregables clave de cada etapa:</w:t>
      </w:r>
    </w:p>
    <w:p>
      <w:pPr>
        <w:pStyle w:val="BodyText"/>
      </w:pPr>
    </w:p>
    <w:p>
      <w:pPr>
        <w:pStyle w:val="BodyText"/>
      </w:pPr>
      <w:r>
        <w:rPr>
          <w:b/>
          <w:bCs/>
        </w:rPr>
        <w:t xml:space="preserve">Figura 5.1:</w:t>
      </w:r>
      <w:r>
        <w:t xml:space="preserve"> </w:t>
      </w:r>
      <w:r>
        <w:t xml:space="preserve">Cronograma y flujo metodológico del proyecto siguiendo las seis fases del proceso DSR (Design Science Research)</w:t>
      </w:r>
    </w:p>
    <w:bookmarkEnd w:id="10"/>
    <w:bookmarkStart w:id="11" w:name="descripción-de-las-fases-dsr"/>
    <w:p>
      <w:pPr>
        <w:pStyle w:val="Heading3"/>
      </w:pPr>
      <w:r>
        <w:t xml:space="preserve">5.2.2 Descripción de las Fases DSR</w:t>
      </w:r>
    </w:p>
    <w:p>
      <w:pPr>
        <w:pStyle w:val="FirstParagraph"/>
      </w:pPr>
      <w:r>
        <w:t xml:space="preserve">El flujo metodológico sigue el proceso DSR de Peffers et al. (2007), asegurando la calidad científica mediante un enfoque sistemático para desarrollo y evaluación de artefactos tecnológicos.</w:t>
      </w:r>
    </w:p>
    <w:p>
      <w:pPr>
        <w:pStyle w:val="BodyText"/>
      </w:pPr>
      <w:r>
        <w:rPr>
          <w:b/>
          <w:bCs/>
        </w:rPr>
        <w:t xml:space="preserve">DSR Fase 1: Problem Identification and Motivation (Semana 1)</w:t>
      </w:r>
      <w:r>
        <w:t xml:space="preserve"> </w:t>
      </w:r>
      <w:r>
        <w:t xml:space="preserve">identifica la problemática en sistemas de soporte técnico para documentación Azure: baja precisión en recuperación de información relevante, alta latencia en resolución de consultas técnicas, y dificultad para mantener actualizado el conocimiento frente a la rápida evolución de servicios cloud. Se establece así la motivación para un sistema RAG especializado que mejore la eficiencia y efectividad del soporte técnico.</w:t>
      </w:r>
    </w:p>
    <w:p>
      <w:pPr>
        <w:pStyle w:val="BodyText"/>
      </w:pPr>
      <w:r>
        <w:rPr>
          <w:b/>
          <w:bCs/>
        </w:rPr>
        <w:t xml:space="preserve">DSR Fase 2: Definition of Objectives for a Solution (Semana 2)</w:t>
      </w:r>
      <w:r>
        <w:t xml:space="preserve"> </w:t>
      </w:r>
      <w:r>
        <w:t xml:space="preserve">define los objetivos que el artefacto debe cumplir, derivados de las necesidades técnicas en soporte Azure. El objetivo general es desarrollar y evaluar un sistema de recuperación semántica basado en procesamiento de lenguaje natural, comparando la efectividad de diferentes modelos de embeddings y arquitecturas de recuperación. Los objetivos específicos son: (1) implementar y comparar múltiples arquitecturas de embeddings (open-source y propietarios), (2) diseñar un sistema de almacenamiento y recuperación vectorial con ChromaDB, (3) desarrollar mecanismos de reranking con CrossEncoders y normalización Min-Max, (4) evaluar el rendimiento con métricas tradicionales de recuperación y métricas especializadas RAG, y (5) establecer una metodología reproducible con herramientas de visualización.</w:t>
      </w:r>
    </w:p>
    <w:p>
      <w:pPr>
        <w:pStyle w:val="BodyText"/>
      </w:pPr>
      <w:r>
        <w:rPr>
          <w:b/>
          <w:bCs/>
        </w:rPr>
        <w:t xml:space="preserve">DSR Fase 3: Design and Development (Semanas 3-10)</w:t>
      </w:r>
      <w:r>
        <w:t xml:space="preserve"> </w:t>
      </w:r>
      <w:r>
        <w:t xml:space="preserve">es la fase más extensa. Comienza con revisión de literatura especializada en sistemas RAG y recuperación semántica (Semana 3), seguida del diseño arquitectónico detallado (Semana 4). En paralelo se ejecuta el scraping de Microsoft Learn y la extracción de Microsoft Q&amp;A (Semanas 5-6), luego procesamiento, normalización y validación de ground truth (Semanas 7-8). La fase concluye con la generación paralela de embeddings vectoriales para cuatro modelos (Ada 1,536 dim, MPNet 768 dim, MiniLM 384 dim, E5-Large 1,024 dim) y su almacenamiento en ChromaDB (Semanas 9-10). También se implementa el CrossEncoder ms-marco-MiniLM-L-6-v2 con normalización Min-Max.</w:t>
      </w:r>
    </w:p>
    <w:p>
      <w:pPr>
        <w:pStyle w:val="BodyText"/>
      </w:pPr>
      <w:r>
        <w:rPr>
          <w:b/>
          <w:bCs/>
        </w:rPr>
        <w:t xml:space="preserve">DSR Fase 4: Demonstration (Semanas 11-13)</w:t>
      </w:r>
      <w:r>
        <w:t xml:space="preserve"> </w:t>
      </w:r>
      <w:r>
        <w:t xml:space="preserve">implementa y demuestra el uso del artefacto. Se desarrollan en paralelo dos componentes: la aplicación Streamlit para visualización interactiva de resultados experimentales, y notebooks Google Colab para ejecución automatizada del pipeline de evaluación (Semanas 11-12). Finalmente se implementan sistemas de visualización de métricas comparativas, gráficos de rendimiento y análisis estadísticos (Semana 13).</w:t>
      </w:r>
    </w:p>
    <w:p>
      <w:pPr>
        <w:pStyle w:val="BodyText"/>
      </w:pPr>
      <w:r>
        <w:rPr>
          <w:b/>
          <w:bCs/>
        </w:rPr>
        <w:t xml:space="preserve">DSR Fase 5: Evaluation (Semanas 14-15)</w:t>
      </w:r>
      <w:r>
        <w:t xml:space="preserve"> </w:t>
      </w:r>
      <w:r>
        <w:t xml:space="preserve">mide qué tan bien el artefacto resuelve el problema, comparando objetivos con resultados obtenidos. Se implementa el framework RAGAS para métricas especializadas (Semana 14), seguido de evaluaciones con métricas tradicionales de recuperación (Precision, Recall, F1, MRR, nDCG) y métricas semánticas mediante BERTScore (Semana 15). Se procesan las consultas con ground truth validado, evaluando 8 configuraciones experimentales (4 modelos × 2 estrategias: sin reranking y con CrossEncoder). Para cada configuración se recuperan los top-15 documentos y se calculan métricas para todos los valores de k desde 1 hasta 15, generando curvas de rendimiento.</w:t>
      </w:r>
    </w:p>
    <w:p>
      <w:pPr>
        <w:pStyle w:val="BodyText"/>
      </w:pPr>
      <w:r>
        <w:rPr>
          <w:b/>
          <w:bCs/>
        </w:rPr>
        <w:t xml:space="preserve">DSR Fase 6: Communication (Semanas 16-18)</w:t>
      </w:r>
      <w:r>
        <w:t xml:space="preserve"> </w:t>
      </w:r>
      <w:r>
        <w:t xml:space="preserve">comunica el problema, el artefacto desarrollado, el rigor del diseño y la efectividad demostrada. Se ejecuta análisis comparativo de métricas entre las 8 configuraciones experimentales (Semana 16), validación de resultados mediante análisis descriptivo (Semana 17), y preparación de documentación académica completa (Semana 18).</w:t>
      </w:r>
    </w:p>
    <w:bookmarkEnd w:id="11"/>
    <w:bookmarkStart w:id="12" w:name="diseño-experimental"/>
    <w:p>
      <w:pPr>
        <w:pStyle w:val="Heading3"/>
      </w:pPr>
      <w:r>
        <w:t xml:space="preserve">5.2.3 Diseño Experimental</w:t>
      </w:r>
    </w:p>
    <w:p>
      <w:pPr>
        <w:pStyle w:val="FirstParagraph"/>
      </w:pPr>
      <w:r>
        <w:t xml:space="preserve">Se adoptó un diseño experimental comparativo con enfoque cuantitativo, estructurado según los principios DSR (Hevner et al., 2004; Peffers et al., 2007). Este enfoque es apropiado para proyectos que crean y evalúan artefactos tecnológicos innovadores.</w:t>
      </w:r>
    </w:p>
    <w:p>
      <w:pPr>
        <w:pStyle w:val="BodyText"/>
      </w:pPr>
      <w:r>
        <w:t xml:space="preserve">El diseño evalúa el impacto de diferentes componentes del sistema RAG mediante dos factores independientes: (1) modelo de embedding con cuatro alternativas (Ada, MPNet, MiniLM, E5-Large), seleccionados por su diversidad arquitectónica y validación en benchmarks, y (2) estrategia de procesamiento con dos niveles (recuperación vectorial directa, y recuperación seguida de reranking con CrossEncoder ms-marco-MiniLM-L-6-v2).</w:t>
      </w:r>
    </w:p>
    <w:p>
      <w:pPr>
        <w:pStyle w:val="BodyText"/>
      </w:pPr>
      <w:r>
        <w:t xml:space="preserve">Esta estructura factorial 4×2 genera 8 configuraciones experimentales. Para cada una, el sistema recupera los top-15 documentos más relevantes y calcula métricas para todos los valores de k desde 1 hasta 15. Esto permite analizar el comportamiento en diferentes profundidades sin ejecutar recuperaciones independientes para cada k, generando curvas completas de rendimiento (Precision@k, Recall@k, F1@k, nDCG@k).</w:t>
      </w:r>
    </w:p>
    <w:p>
      <w:pPr>
        <w:pStyle w:val="BodyText"/>
      </w:pPr>
      <w:r>
        <w:t xml:space="preserve">Cada consulta con ground truth validado se procesa a través de las 8 configuraciones, produciendo métricas para 15 valores de k y permitiendo análisis estadístico riguroso.</w:t>
      </w:r>
    </w:p>
    <w:bookmarkEnd w:id="12"/>
    <w:bookmarkStart w:id="13" w:name="paradigma-de-evaluación"/>
    <w:p>
      <w:pPr>
        <w:pStyle w:val="Heading3"/>
      </w:pPr>
      <w:r>
        <w:t xml:space="preserve">5.2.4 Paradigma de Evaluación</w:t>
      </w:r>
    </w:p>
    <w:p>
      <w:pPr>
        <w:pStyle w:val="FirstParagraph"/>
      </w:pPr>
      <w:r>
        <w:t xml:space="preserve">La evaluación se fundamenta en el paradigma de test collection descrito en el Capítulo 2 (sección 2.6), que requiere tres componentes esenciales: corpus de documentos, conjunto de consultas y juicios de relevancia. Este proyecto implementa estos componentes mediante scraping de documentación de Microsoft Learn, extracción de preguntas de Microsoft Q&amp;A, y validación de enlaces entre preguntas y documentos oficiales proporcionados por expertos de la comunidad técnica en respuestas aceptadas.</w:t>
      </w:r>
    </w:p>
    <w:bookmarkEnd w:id="13"/>
    <w:bookmarkStart w:id="14" w:name="variables-de-investigación"/>
    <w:p>
      <w:pPr>
        <w:pStyle w:val="Heading3"/>
      </w:pPr>
      <w:r>
        <w:t xml:space="preserve">5.2.5 Variables de Investigación</w:t>
      </w:r>
    </w:p>
    <w:p>
      <w:pPr>
        <w:pStyle w:val="FirstParagraph"/>
      </w:pPr>
      <w:r>
        <w:t xml:space="preserve">Las variables del estudio se clasifican en tres categorías principales para análisis riguroso de causalidad y evaluación del rendimiento del sistema RAG.</w:t>
      </w:r>
    </w:p>
    <w:p>
      <w:pPr>
        <w:pStyle w:val="BodyText"/>
      </w:pPr>
      <w:r>
        <w:rPr>
          <w:b/>
          <w:bCs/>
        </w:rPr>
        <w:t xml:space="preserve">Variables Independientes</w:t>
      </w:r>
      <w:r>
        <w:t xml:space="preserve"> </w:t>
      </w:r>
      <w:r>
        <w:t xml:space="preserve">se manipulan sistemáticamente para evaluar su impacto en el rendimiento del sistema. La arquitectura de embedding (categórica con cuatro niveles: Ada, MPNet, MiniLM, E5-Large) representa la primera variable independiente, seleccionando modelos con diferentes dimensionalidades y estrategias de entrenamiento para evaluar su efectividad en contenido técnico especializado. La estrategia de procesamiento de resultados (binaria: sin reranking, con reranking mediante CrossEncoder) constituye la segunda variable independiente, permitiendo cuantificar el impacto específico del componente de reranking mediante comparación directa de resultados pre y post reranking.</w:t>
      </w:r>
    </w:p>
    <w:p>
      <w:pPr>
        <w:pStyle w:val="BodyText"/>
      </w:pPr>
      <w:r>
        <w:rPr>
          <w:b/>
          <w:bCs/>
        </w:rPr>
        <w:t xml:space="preserve">Variables Dependientes</w:t>
      </w:r>
      <w:r>
        <w:t xml:space="preserve"> </w:t>
      </w:r>
      <w:r>
        <w:t xml:space="preserve">capturan diferentes aspectos del rendimiento mediante tres familias de métricas complementarias, todas continuas en el rango [0,1] y calculadas para valores de k desde 1 hasta 15. Las métricas tradicionales de recuperación incluyen Precision@k, Recall@k, F1@k, Mean Reciprocal Rank (MRR), Normalized Discounted Cumulative Gain (nDCG@k) y Mean Average Precision (MAP), descritas en el Capítulo 2. Las métricas especializadas RAG incluyen faithfulness, answer relevancy, context precision y context recall, descritas en el Capítulo 3. Las métricas semánticas incluyen BERTScore (precision, recall, F1), también descritas en el Capítulo 3. La utilización de múltiples familias de métricas permite una evaluación exhaustiva que capture tanto efectividad de recuperación como calidad de generación de respuestas.</w:t>
      </w:r>
    </w:p>
    <w:p>
      <w:pPr>
        <w:pStyle w:val="BodyText"/>
      </w:pPr>
      <w:r>
        <w:t xml:space="preserve">Las variables de control garantizan consistencia experimental: configuración de hardware constante (Intel Core i7, 16GB RAM) para evitar variaciones por diferencias de capacidad computacional, versiones de software fijas (Python 3.12.2, ChromaDB 0.5.23, sentence-transformers 5.0.0) para eliminar efectos de actualizaciones de bibliotecas, temperatura de modelos generativos en 0.1 para minimizar variabilidad estocástica, y semillas aleatorias controladas (seed=42) para garantizar reproducibilidad exacta.</w:t>
      </w:r>
    </w:p>
    <w:bookmarkEnd w:id="14"/>
    <w:bookmarkEnd w:id="15"/>
    <w:bookmarkStart w:id="19" w:name="recolección-y-preparación-de-datos"/>
    <w:p>
      <w:pPr>
        <w:pStyle w:val="Heading2"/>
      </w:pPr>
      <w:r>
        <w:t xml:space="preserve">5.3 Recolección y Preparación de Datos</w:t>
      </w:r>
    </w:p>
    <w:bookmarkStart w:id="16" w:name="estrategia-de-recolección-de-datos"/>
    <w:p>
      <w:pPr>
        <w:pStyle w:val="Heading3"/>
      </w:pPr>
      <w:r>
        <w:t xml:space="preserve">5.3.1 Estrategia de Recolección de Datos</w:t>
      </w:r>
    </w:p>
    <w:p>
      <w:pPr>
        <w:pStyle w:val="FirstParagraph"/>
      </w:pPr>
      <w:r>
        <w:t xml:space="preserve">La recolección de datos se ejecuta mediante web scraping sistemático y éticamente responsable, siguiendo las directrices establecidas para investigación académica con datos públicos (Landers &amp; Behrend, 2015). La estrategia se fundamenta en dos corpus principales que proporcionan cobertura complementaria del dominio técnico de Azure.</w:t>
      </w:r>
    </w:p>
    <w:p>
      <w:pPr>
        <w:pStyle w:val="BodyText"/>
      </w:pPr>
      <w:r>
        <w:t xml:space="preserve">El Corpus de Documentación Técnica se extrae de Microsoft Learn, la base de conocimiento oficial de Microsoft para sus productos cloud. Se implementa un scraper especializado utilizando Selenium WebDriver para páginas dinámicas y Beautiful Soup para parsing de HTML estructurado (Mitchell, 2018). La selección se limita específicamente a documentación relacionada con servicios de Microsoft Azure, garantizando coherencia temática y relevancia técnica para el caso de uso objetivo de soporte técnico especializado.</w:t>
      </w:r>
    </w:p>
    <w:p>
      <w:pPr>
        <w:pStyle w:val="BodyText"/>
      </w:pPr>
      <w:r>
        <w:t xml:space="preserve">El proceso de extracción sigue protocolos éticos estrictos que incluyen respeto riguroso a robots.txt y términos de servicio de Microsoft, delays de 1-2 segundos entre requests consecutivos para evitar saturación de servidores, y limitación de concurrencia a un máximo de 3 conexiones simultáneas. El scraping se ejecuta durante horarios de baja demanda (madrugada hora del servidor) para minimizar el impacto en usuarios legítimos de la plataforma.</w:t>
      </w:r>
    </w:p>
    <w:p>
      <w:pPr>
        <w:pStyle w:val="BodyText"/>
      </w:pPr>
      <w:r>
        <w:t xml:space="preserve">El Corpus de Consultas Técnicas se recolecta del foro público Microsoft Q&amp;A, que representa consultas reales de usuarios en contextos de soporte técnico. Este corpus proporciona variabilidad lingüística natural, diversidad en la formulación de problemas técnicos, y autenticidad en la expresión de necesidades de información. La inclusión de preguntas con respuestas aceptadas por la comunidad garantiza que el ground truth refleje validación por expertos técnicos con experiencia práctica en Azure.</w:t>
      </w:r>
    </w:p>
    <w:bookmarkEnd w:id="16"/>
    <w:bookmarkStart w:id="17" w:name="procesamiento-y-normalización-de-datos"/>
    <w:p>
      <w:pPr>
        <w:pStyle w:val="Heading3"/>
      </w:pPr>
      <w:r>
        <w:t xml:space="preserve">5.3.2 Procesamiento y Normalización de Datos</w:t>
      </w:r>
    </w:p>
    <w:p>
      <w:pPr>
        <w:pStyle w:val="FirstParagraph"/>
      </w:pPr>
      <w:r>
        <w:t xml:space="preserve">El procesamiento de datos sigue un pipeline sistemático de limpieza y normalización diseñado para optimizar la calidad de los embeddings. El preprocesamiento de documentos ejecuta cuatro transformaciones principales: extracción de contenido (elimina elementos HTML, JavaScript, CSS y otros componentes no textuales que introducen ruido), segmentación inteligente (divide documentos largos en chunks respetando límites de párrafo y sección para preservar coherencia semántica, considerando las restricciones de los modelos de embedding utilizados), normalización de texto (aplica conversión a UTF-8, eliminación de caracteres de control, y normalización de espacios en blanco), y preservación de estructura (mantiene metadatos esenciales como título, URL, y fecha de publicación para enriquecer el contexto de recuperación).</w:t>
      </w:r>
    </w:p>
    <w:p>
      <w:pPr>
        <w:pStyle w:val="BodyText"/>
      </w:pPr>
      <w:r>
        <w:t xml:space="preserve">La normalización de URLs implementa un proceso riguroso para garantizar consistencia en la vinculación pregunta-documento: elimina parámetros de query string (tracking, session IDs), remueve fragmentos de anchor (#section), normaliza el esquema (http → https), y convierte a minúsculas el dominio. Esta normalización elimina variaciones superficiales que impedirían el matching correcto entre enlaces en respuestas de Q&amp;A y URLs de documentos en el corpus.</w:t>
      </w:r>
    </w:p>
    <w:p>
      <w:pPr>
        <w:pStyle w:val="BodyText"/>
      </w:pPr>
      <w:r>
        <w:t xml:space="preserve">La validación de ground truth sigue un proceso sistemático de filtrado multinivel. El filtrado inicial identifica preguntas que contengan enlaces a Microsoft Learn en sus respuestas aceptadas. La normalización aplica las reglas de estandarización URL para eliminar parámetros de tracking y variaciones de formato. La verificación de correspondencia filtra preguntas cuyos enlaces normalizados correspondan a documentos efectivamente presentes en el corpus indexado. El resultado produce un conjunto de preguntas con al menos un enlace validado a documentos del corpus, estableciendo un ground truth de alta calidad basado en correspondencias reales entre preguntas técnicas y documentación oficial.</w:t>
      </w:r>
    </w:p>
    <w:bookmarkEnd w:id="17"/>
    <w:bookmarkStart w:id="18" w:name="metodología-de-análisis-del-corpus"/>
    <w:p>
      <w:pPr>
        <w:pStyle w:val="Heading3"/>
      </w:pPr>
      <w:r>
        <w:t xml:space="preserve">5.3.3 Metodología de Análisis del Corpus</w:t>
      </w:r>
    </w:p>
    <w:p>
      <w:pPr>
        <w:pStyle w:val="FirstParagraph"/>
      </w:pPr>
      <w:r>
        <w:t xml:space="preserve">El corpus de documentos se caracteriza mediante análisis estadístico descriptivo que captura la diversidad y profundidad de la documentación técnica de Azure. Se calculan métricas de volumen incluyendo el total de documentos únicos recolectados y el número de chunks procesables generados tras la segmentación. Las características de longitud se miden mediante la longitud promedio y desviación estándar por chunk (en tokens), indicando variabilidad apropiada para modelos de embedding, y la longitud promedio y desviación estándar por documento original antes de segmentación, reflejando la diversidad desde tutoriales breves hasta especificaciones técnicas exhaustivas.</w:t>
      </w:r>
    </w:p>
    <w:p>
      <w:pPr>
        <w:pStyle w:val="BodyText"/>
      </w:pPr>
      <w:r>
        <w:t xml:space="preserve">La distribución temática del corpus se analiza mediante clasificación automatizada de contenido basado en palabras clave con ponderación por frecuencia. La metodología emplea clasificación según presencia de términos técnicos característicos, operando sobre una muestra estratificada del corpus total. Las categorías temáticas principales incluyen: Development (contenido relacionado con SDKs, APIs, programación, DevOps y herramientas de desarrollo), Operations (documentación sobre monitoreo, automatización, gestión de infraestructura y troubleshooting), Security (materiales sobre autenticación, autorización, cumplimiento y servicios de seguridad), y Azure Services (servicios específicos de Azure con sus configuraciones y características particulares). Para cada categoría se calcula el porcentaje de representación en el corpus total y el número absoluto de chunks clasificados.</w:t>
      </w:r>
    </w:p>
    <w:p>
      <w:pPr>
        <w:pStyle w:val="BodyText"/>
      </w:pPr>
      <w:r>
        <w:t xml:space="preserve">El corpus de preguntas se caracteriza mediante análisis de volumen total de consultas recolectadas y porcentaje de preguntas con enlaces validados que correspondan a documentos en el corpus. Las características lingüísticas se miden mediante longitud promedio y desviación estándar de preguntas (en tokens), capturando el rango desde consultas concisas hasta descripciones detalladas de problemas complejos, y longitud promedio y desviación estándar de respuestas, reflejando variabilidad en profundidad de explicaciones técnicas. La distribución temporal se analiza calculando el porcentaje de preguntas por período temporal (años), identificando si el corpus captura principalmente consultas sobre versiones recientes o históricas de servicios Azure.</w:t>
      </w:r>
    </w:p>
    <w:bookmarkEnd w:id="18"/>
    <w:bookmarkEnd w:id="19"/>
    <w:bookmarkStart w:id="23" w:name="Xec605610ba831c960a853a59da4f915f8786bbc"/>
    <w:p>
      <w:pPr>
        <w:pStyle w:val="Heading2"/>
      </w:pPr>
      <w:r>
        <w:t xml:space="preserve">5.4 Implementación de Arquitecturas de Embedding</w:t>
      </w:r>
    </w:p>
    <w:bookmarkStart w:id="20" w:name="selección-y-justificación-de-modelos"/>
    <w:p>
      <w:pPr>
        <w:pStyle w:val="Heading3"/>
      </w:pPr>
      <w:r>
        <w:t xml:space="preserve">5.4.1 Selección y Justificación de Modelos</w:t>
      </w:r>
    </w:p>
    <w:p>
      <w:pPr>
        <w:pStyle w:val="FirstParagraph"/>
      </w:pPr>
      <w:r>
        <w:t xml:space="preserve">La selección de modelos de embedding se basa en criterios de rendimiento en benchmarks especializados, disponibilidad para investigación académica, y complementariedad arquitectónica (Muennighoff et al., 2023). Los cuatro modelos seleccionados—OpenAI Ada (text-embedding-ada-002, 1,536 dim), Multi-QA MPNet (multi-qa-mpnet-base-dot-v1, 768 dim), MiniLM (all-MiniLM-L6-v2, 384 dim) y E5-Large (intfloat/e5-large-v2, 1,024 dim)—representan diferentes enfoques arquitectónicos y estrategias de entrenamiento que permiten evaluar el impacto de estas decisiones de diseño en el rendimiento final del sistema RAG. Las características técnicas detalladas de cada modelo, incluyendo sus arquitecturas, capacidades y limitaciones, se describen en el Capítulo 3 (sección 3.3).</w:t>
      </w:r>
    </w:p>
    <w:bookmarkEnd w:id="20"/>
    <w:bookmarkStart w:id="21" w:name="configuración-técnica-de-embeddings"/>
    <w:p>
      <w:pPr>
        <w:pStyle w:val="Heading3"/>
      </w:pPr>
      <w:r>
        <w:t xml:space="preserve">5.4.2 Configuración Técnica de Embeddings</w:t>
      </w:r>
    </w:p>
    <w:p>
      <w:pPr>
        <w:pStyle w:val="FirstParagraph"/>
      </w:pPr>
      <w:r>
        <w:t xml:space="preserve">El proyecto utiliza dos entornos computacionales complementarios. El desarrollo de aplicaciones y análisis de resultados se realiza en un MacBook Pro 16,1 equipado con procesador Intel Core i7 de 6 núcleos a 2.6 GHz, 16 GB de memoria RAM DDR4, y almacenamiento SSD NVMe. La ejecución de búsquedas vectoriales y obtención de métricas experimentales se realiza en Google Colab con GPU Tesla T4 para optimizar tiempos de cómputo. El entorno de software utiliza Python 3.12.2 compilado con Clang 13.0.0, con dependencias críticas sentence-transformers 5.0.0, torch 2.2.2, y numpy 1.26.4 para garantizar compatibilidad y reproducibilidad entre ambos entornos.</w:t>
      </w:r>
    </w:p>
    <w:p>
      <w:pPr>
        <w:pStyle w:val="BodyText"/>
      </w:pPr>
      <w:r>
        <w:t xml:space="preserve">El pipeline de generación de embeddings implementa un proceso estandarizado que maneja las particularidades de cada modelo. Para Ada, el sistema invoca la API de OpenAI con manejo de errores y fallback a embeddings proxy en caso de fallo de conectividad. Para modelos sentence-transformer (MPNet, MiniLM, E5-Large), el proceso aplica codificación directa con normalización L2 de vectores resultantes. Para MPNet específicamente, se agrega el prefijo</w:t>
      </w:r>
      <w:r>
        <w:t xml:space="preserve"> </w:t>
      </w:r>
      <w:r>
        <w:t xml:space="preserve">“query:”</w:t>
      </w:r>
      <w:r>
        <w:t xml:space="preserve"> </w:t>
      </w:r>
      <w:r>
        <w:t xml:space="preserve">a consultas según las recomendaciones del modelo para optimizar la representación de preguntas.</w:t>
      </w:r>
    </w:p>
    <w:p>
      <w:pPr>
        <w:pStyle w:val="BodyText"/>
      </w:pPr>
      <w:r>
        <w:t xml:space="preserve">La generación masiva de embeddings procesa todos los chunks segmentados para cada uno de los cuatro modelos. Los vectores resultantes se almacenan en formato eficiente según la dimensionalidad de cada modelo: Ada con vectores de 1,536 dimensiones, E5-Large con vectores de 1,024 dimensiones, MPNet con vectores de 768 dimensiones, y MiniLM con vectores de 384 dimensiones. El proceso utiliza paralelización cuando sea posible para maximizar eficiencia computacional.</w:t>
      </w:r>
    </w:p>
    <w:bookmarkEnd w:id="21"/>
    <w:bookmarkStart w:id="22" w:name="X9196bac30577c0c257d57e5c3229ee0cddea867"/>
    <w:p>
      <w:pPr>
        <w:pStyle w:val="Heading3"/>
      </w:pPr>
      <w:r>
        <w:t xml:space="preserve">5.4.3 Almacenamiento en Base de Datos Vectorial</w:t>
      </w:r>
    </w:p>
    <w:p>
      <w:pPr>
        <w:pStyle w:val="FirstParagraph"/>
      </w:pPr>
      <w:r>
        <w:t xml:space="preserve">La selección de la base de datos vectorial consideró dos soluciones principales: ChromaDB y Weaviate, evaluando criterios técnicos específicos para investigación académica descritos en el Capítulo 2 (sección 2.3.3) y Capítulo 3 (sección 3.6). Los factores evaluados incluyeron latencia de consulta, escalabilidad, simplicidad de configuración, y compatibilidad con el entorno de experimentación (Google Colab). Tras este análisis comparativo, se seleccionó ChromaDB como solución definitiva, decisión cuya justificación técnica detallada se presenta en el Capítulo 6.</w:t>
      </w:r>
    </w:p>
    <w:p>
      <w:pPr>
        <w:pStyle w:val="BodyText"/>
      </w:pPr>
      <w:r>
        <w:t xml:space="preserve">ChromaDB implementa una arquitectura de almacenamiento distribuida en colecciones especializadas por modelo de embedding, permitiendo comparaciones directas manteniendo aislamiento de datos y optimización específica por modelo. El proceso de búsqueda implementa similitud coseno en el espacio de embeddings para identificar candidatos potencialmente relevantes mediante algoritmos de búsqueda aproximada de vecinos más cercanos (ANN) como HNSW, descritos en el Capítulo 3 (sección 3.6.2).</w:t>
      </w:r>
    </w:p>
    <w:bookmarkEnd w:id="22"/>
    <w:bookmarkEnd w:id="23"/>
    <w:bookmarkStart w:id="27" w:name="X18a176dc7714deb44c363a3a49d8e923f877775"/>
    <w:p>
      <w:pPr>
        <w:pStyle w:val="Heading2"/>
      </w:pPr>
      <w:r>
        <w:t xml:space="preserve">5.5 Desarrollo de Mecanismos de Recuperación y Reranking</w:t>
      </w:r>
    </w:p>
    <w:bookmarkStart w:id="24" w:name="pipeline-de-recuperación-multi-etapa"/>
    <w:p>
      <w:pPr>
        <w:pStyle w:val="Heading3"/>
      </w:pPr>
      <w:r>
        <w:t xml:space="preserve">5.5.1 Pipeline de Recuperación Multi-Etapa</w:t>
      </w:r>
    </w:p>
    <w:p>
      <w:pPr>
        <w:pStyle w:val="FirstParagraph"/>
      </w:pPr>
      <w:r>
        <w:t xml:space="preserve">El sistema implementa un pipeline de recuperación de dos etapas optimizado para balance entre eficiencia y precisión, siguiendo el paradigma establecido por sistemas de recuperación de gran escala (Karpukhin et al., 2020; Qu et al., 2021). Este diseño multi-etapa permite procesar eficientemente grandes volúmenes de documentos mientras aplica modelos más sofisticados solo a un subconjunto prometedor de candidatos.</w:t>
      </w:r>
    </w:p>
    <w:p>
      <w:pPr>
        <w:pStyle w:val="BodyText"/>
      </w:pPr>
      <w:r>
        <w:t xml:space="preserve">La Etapa 1 de Recuperación Vectorial (Dense Retrieval) utiliza similitud coseno en el espacio de embeddings para identificar candidatos potencialmente relevantes. El sistema genera un embedding vectorial para la consulta de usuario, calcula similitudes coseno entre este embedding y todos los embeddings de documentos almacenados en ChromaDB, y retorna los top-k documentos con mayor similitud. La selección del valor k para recuperación inicial se establece considerando el balance entre precision y recall, manteniendo eficiencia computacional para el pipeline completo. Se experimenta con diferentes valores de k para determinar la configuración óptima.</w:t>
      </w:r>
    </w:p>
    <w:p>
      <w:pPr>
        <w:pStyle w:val="BodyText"/>
      </w:pPr>
      <w:r>
        <w:t xml:space="preserve">La Etapa 2 de Reranking con CrossEncoder procesa conjuntamente query y documento para generar scores de relevancia más precisos. El sistema toma los candidatos de la etapa anterior, forma pares [query, documento] para cada candidato, procesa cada par mediante el CrossEncoder obteniendo un score de relevancia, aplica normalización Min-Max para convertir scores al rango [0,1], reordena documentos según los scores normalizados, y retorna los documentos finales mejor rankeados. Este proceso de reranking permite aplicar un modelo más sofisticado (CrossEncoder con atención cruzada entre query y documento) solo a un subconjunto manejable de candidatos.</w:t>
      </w:r>
    </w:p>
    <w:bookmarkEnd w:id="24"/>
    <w:bookmarkStart w:id="25" w:name="X17a01402712f355cf998616ece1535f2edb85f7"/>
    <w:p>
      <w:pPr>
        <w:pStyle w:val="Heading3"/>
      </w:pPr>
      <w:r>
        <w:t xml:space="preserve">5.5.2 Justificación del CrossEncoder Seleccionado</w:t>
      </w:r>
    </w:p>
    <w:p>
      <w:pPr>
        <w:pStyle w:val="FirstParagraph"/>
      </w:pPr>
      <w:r>
        <w:t xml:space="preserve">El modelo cross-encoder/ms-marco-MiniLM-L-6-v2 se selecciona basándose en criterios técnicos y de compatibilidad con la infraestructura de investigación. Las características técnicas detalladas del modelo, incluyendo su arquitectura, entrenamiento en MS MARCO, y capacidades de reranking, se describen en el Capítulo 3 (sección 3.5.2). Los criterios específicos de selección para este proyecto incluyen compatibilidad con limitaciones de memoria en Google Colab, velocidad de inferencia adecuada para procesamiento de múltiples documentos por consulta, y estabilidad de scores apropiada para normalización Min-Max.</w:t>
      </w:r>
    </w:p>
    <w:bookmarkEnd w:id="25"/>
    <w:bookmarkStart w:id="26" w:name="estrategia-de-normalización-de-scores"/>
    <w:p>
      <w:pPr>
        <w:pStyle w:val="Heading3"/>
      </w:pPr>
      <w:r>
        <w:t xml:space="preserve">5.5.3 Estrategia de Normalización de Scores</w:t>
      </w:r>
    </w:p>
    <w:p>
      <w:pPr>
        <w:pStyle w:val="FirstParagraph"/>
      </w:pPr>
      <w:r>
        <w:t xml:space="preserve">El sistema establece como baseline los scores de recuperación vectorial sin reranking, permitiendo una comparación directa del impacto del CrossEncoder en las métricas de recuperación. Se aplica normalización Min-Max a los scores del CrossEncoder para garantizar comparabilidad entre diferentes consultas y sesiones de evaluación, transformando scores al rango [0,1] preservando relaciones ordinales. Los fundamentos teóricos de la normalización Min-Max y su justificación frente a alternativas como Z-score y sigmoid se describen en el Capítulo 3 (sección 3.5.2).</w:t>
      </w:r>
    </w:p>
    <w:bookmarkEnd w:id="26"/>
    <w:bookmarkEnd w:id="27"/>
    <w:bookmarkStart w:id="33" w:name="framework-de-evaluación-integral"/>
    <w:p>
      <w:pPr>
        <w:pStyle w:val="Heading2"/>
      </w:pPr>
      <w:r>
        <w:t xml:space="preserve">5.6 Framework de Evaluación Integral</w:t>
      </w:r>
    </w:p>
    <w:bookmarkStart w:id="28" w:name="selección-del-conjunto-de-evaluación"/>
    <w:p>
      <w:pPr>
        <w:pStyle w:val="Heading3"/>
      </w:pPr>
      <w:r>
        <w:t xml:space="preserve">5.6.1 Selección del Conjunto de Evaluación</w:t>
      </w:r>
    </w:p>
    <w:p>
      <w:pPr>
        <w:pStyle w:val="FirstParagraph"/>
      </w:pPr>
      <w:r>
        <w:t xml:space="preserve">Para la evaluación sistemática del sistema, se utiliza el conjunto de consultas con ground truth validado. Este conjunto representa las preguntas de Microsoft Q&amp;A que tienen enlaces a documentación oficial de Microsoft Learn en sus respuestas aceptadas, y cuyos enlaces corresponden efectivamente a documentos presentes en el corpus indexado. La utilización del conjunto completo garantiza significancia estadística robusta y permite detectar diferencias de rendimiento entre configuraciones experimentales con alta confiabilidad.</w:t>
      </w:r>
    </w:p>
    <w:bookmarkEnd w:id="28"/>
    <w:bookmarkStart w:id="29" w:name="diseño-del-framework-de-evaluación"/>
    <w:p>
      <w:pPr>
        <w:pStyle w:val="Heading3"/>
      </w:pPr>
      <w:r>
        <w:t xml:space="preserve">5.6.2 Diseño del Framework de Evaluación</w:t>
      </w:r>
    </w:p>
    <w:p>
      <w:pPr>
        <w:pStyle w:val="FirstParagraph"/>
      </w:pPr>
      <w:r>
        <w:t xml:space="preserve">El framework de evaluación implementado combina métricas tradicionales de recuperación de información con métricas especializadas para sistemas RAG, siguiendo las mejores prácticas establecidas en la literatura de evaluación de sistemas de información (Sanderson, 2010; Ferro &amp; Peters, 2019). La arquitectura del framework integra tres familias de métricas complementarias que capturan diferentes aspectos del rendimiento del sistema.</w:t>
      </w:r>
    </w:p>
    <w:p>
      <w:pPr>
        <w:pStyle w:val="BodyText"/>
      </w:pPr>
      <w:r>
        <w:t xml:space="preserve">Las métricas tradicionales incluyen precision, recall, F1, mean reciprocal rank (MRR), normalized discounted cumulative gain (nDCG), y mean average precision (MAP), todas evaluadas a múltiples valores de k para capturar rendimiento en diferentes profundidades de recuperación. Las métricas RAG especializadas incluyen answer relevancy, context precision, context recall, y faithfulness, evaluando aspectos específicos de sistemas de generación aumentada. Las métricas semánticas incluyen BERTScore (precision, recall, F1), capturando similitud semántica profunda más allá del matching léxico superficial.</w:t>
      </w:r>
    </w:p>
    <w:p>
      <w:pPr>
        <w:pStyle w:val="BodyText"/>
      </w:pPr>
      <w:r>
        <w:t xml:space="preserve">El framework ejecuta evaluación exhaustiva para cada consulta, calculando todas las métricas especificadas, agregando resultados mediante promediado aritmético para obtener métricas a nivel de sistema, y almacenando resultados detallados en formato JSON estructurado para análisis posterior y reproducibilidad.</w:t>
      </w:r>
    </w:p>
    <w:bookmarkEnd w:id="29"/>
    <w:bookmarkStart w:id="30" w:name="métricas-de-evaluación"/>
    <w:p>
      <w:pPr>
        <w:pStyle w:val="Heading3"/>
      </w:pPr>
      <w:r>
        <w:t xml:space="preserve">5.6.3 Métricas de Evaluación</w:t>
      </w:r>
    </w:p>
    <w:p>
      <w:pPr>
        <w:pStyle w:val="FirstParagraph"/>
      </w:pPr>
      <w:r>
        <w:t xml:space="preserve">El sistema se evalúa mediante tres familias de métricas complementarias descritas en el Capítulo 2 (sección 2.6). Las métricas tradicionales de recuperación incluyen Precision@k, Recall@k, F1@k, Mean Reciprocal Rank (MRR), Normalized Discounted Cumulative Gain (nDCG@k) y Mean Average Precision (MAP), calculadas para valores de k desde 1 hasta 15. Estas métricas, con sus fórmulas y definiciones formales, se presentan en la Tabla 2.1 del Capítulo 2.</w:t>
      </w:r>
    </w:p>
    <w:p>
      <w:pPr>
        <w:pStyle w:val="BodyText"/>
      </w:pPr>
      <w:r>
        <w:t xml:space="preserve">Las métricas especializadas RAG se implementan mediante la biblioteca RAGAS (Es et al., 2023) e incluyen Answer Relevancy, Context Precision, Context Recall y Faithfulness. Estas métricas evalúan aspectos específicos de sistemas de generación aumentada por recuperación, como la consistencia factual, la relevancia de la respuesta, y la calidad del contexto recuperado. Sus fórmulas y descripciones se presentan en la Tabla 2.2 del Capítulo 2.</w:t>
      </w:r>
    </w:p>
    <w:p>
      <w:pPr>
        <w:pStyle w:val="BodyText"/>
      </w:pPr>
      <w:r>
        <w:t xml:space="preserve">Las métricas semánticas utilizan BERTScore con el modelo distiluse-base-multilingual-cased-v2, calculando precision, recall y F1 semánticos mediante embeddings contextualizados. Esta métrica captura similitud semántica profunda más allá del matching léxico superficial, siendo particularmente valiosa para evaluar paráfrasis y reformulaciones técnicas. Las fórmulas de BERTScore se presentan en la Tabla 2.3 del Capítulo 2.</w:t>
      </w:r>
    </w:p>
    <w:bookmarkEnd w:id="30"/>
    <w:bookmarkStart w:id="31" w:name="análisis-comparativo-de-resultados"/>
    <w:p>
      <w:pPr>
        <w:pStyle w:val="Heading3"/>
      </w:pPr>
      <w:r>
        <w:t xml:space="preserve">5.6.4 Análisis Comparativo de Resultados</w:t>
      </w:r>
    </w:p>
    <w:p>
      <w:pPr>
        <w:pStyle w:val="FirstParagraph"/>
      </w:pPr>
      <w:r>
        <w:t xml:space="preserve">El análisis comparativo evalúa el rendimiento de las 8 configuraciones experimentales (4 modelos de embedding × 2 estrategias de procesamiento) mediante estadística descriptiva exhaustiva. Para cada métrica (Precision@k, Recall@k, F1@k, MRR, nDCG@k, MAP) se calculan medidas de tendencia central (media, mediana) y dispersión (desviación estándar, rango intercuartílico) a través de las consultas evaluadas. El análisis genera curvas completas de rendimiento para valores de k desde 1 hasta 15, permitiendo visualizar el comportamiento progresivo de cada configuración conforme aumenta la profundidad de recuperación.</w:t>
      </w:r>
    </w:p>
    <w:p>
      <w:pPr>
        <w:pStyle w:val="BodyText"/>
      </w:pPr>
      <w:r>
        <w:t xml:space="preserve">La comparación entre configuraciones se realiza mediante análisis de diferencias absolutas y relativas en métricas de rendimiento, identificando patrones sistemáticos de superioridad de modelos específicos en distintos rangos de k. Se calcula la magnitud práctica de diferencias mediante efecto del tamaño (effect size) que cuantifica la relevancia práctica de las diferencias observadas independientemente de consideraciones de significancia estadística, proporcionando insights sobre qué configuraciones ofrecen mejoras sustanciales en rendimiento para aplicaciones reales.</w:t>
      </w:r>
    </w:p>
    <w:bookmarkEnd w:id="31"/>
    <w:bookmarkStart w:id="32" w:name="procedimientos-de-reproducibilidad"/>
    <w:p>
      <w:pPr>
        <w:pStyle w:val="Heading3"/>
      </w:pPr>
      <w:r>
        <w:t xml:space="preserve">5.6.5 Procedimientos de Reproducibilidad</w:t>
      </w:r>
    </w:p>
    <w:p>
      <w:pPr>
        <w:pStyle w:val="FirstParagraph"/>
      </w:pPr>
      <w:r>
        <w:t xml:space="preserve">El control de semillas aleatorias garantiza reproducibilidad exacta de resultados estocásticos. El sistema configura semillas para el generador random de Python, el generador de numpy, el generador de torch para CPU, y cuando esté disponible, el generador de torch para GPU (CUDA). La semilla seleccionada es 42, siguiendo la convención establecida en la comunidad de aprendizaje automático.</w:t>
      </w:r>
    </w:p>
    <w:p>
      <w:pPr>
        <w:pStyle w:val="BodyText"/>
      </w:pPr>
      <w:r>
        <w:t xml:space="preserve">El logging exhaustivo implementa registro detallado de todas las operaciones para garantizar trazabilidad completa. El sistema registra marca de tiempo, nombre del módulo, nivel de severidad, y mensaje descriptivo para cada evento significativo. Los logs se almacenan tanto en archivo persistente como en salida estándar para facilitar debugging en tiempo real y análisis posterior.</w:t>
      </w:r>
    </w:p>
    <w:p>
      <w:pPr>
        <w:pStyle w:val="BodyText"/>
      </w:pPr>
      <w:r>
        <w:t xml:space="preserve">La preservación de configuraciones garantiza que todas las configuraciones experimentales se serialicen en formato JSON estructurado. El archivo de configuración incluye la lista de modelos evaluados, los valores de k utilizados para métricas</w:t>
      </w:r>
      <w:r>
        <w:t xml:space="preserve"> </w:t>
      </w:r>
      <w:r>
        <w:t xml:space="preserve">@k</w:t>
      </w:r>
      <w:r>
        <w:t xml:space="preserve">, el modelo de CrossEncoder específico, la versión del dataset utilizado, y la semilla aleatoria para reproducibilidad. Esta serialización permite replicación exacta de experimentos en el futuro.</w:t>
      </w:r>
    </w:p>
    <w:bookmarkEnd w:id="32"/>
    <w:bookmarkEnd w:id="33"/>
    <w:bookmarkStart w:id="37" w:name="consideraciones-éticas-y-de-validez"/>
    <w:p>
      <w:pPr>
        <w:pStyle w:val="Heading2"/>
      </w:pPr>
      <w:r>
        <w:t xml:space="preserve">5.7 Consideraciones Éticas y de Validez</w:t>
      </w:r>
    </w:p>
    <w:bookmarkStart w:id="34" w:name="aspectos-éticos-de-la-investigación"/>
    <w:p>
      <w:pPr>
        <w:pStyle w:val="Heading3"/>
      </w:pPr>
      <w:r>
        <w:t xml:space="preserve">5.7.1 Aspectos Éticos de la Investigación</w:t>
      </w:r>
    </w:p>
    <w:p>
      <w:pPr>
        <w:pStyle w:val="FirstParagraph"/>
      </w:pPr>
      <w:r>
        <w:t xml:space="preserve">Aunque todos los datos a utilizar son públicamente accesibles, se implementan protocolos éticos rigurosos. El uso responsable de datos públicos incluye respeto estricto a términos de servicio de Microsoft Learn y Microsoft Q&amp;A, implementación de rate limiting para evitar sobrecarga de servidores mediante delays entre requests, anonimización de información de usuarios en preguntas del foro eliminando nombres y correos electrónicos, y cumplimiento con licencias Creative Commons (CC BY 4.0) de Microsoft Learn permitiendo uso académico con atribución apropiada.</w:t>
      </w:r>
    </w:p>
    <w:p>
      <w:pPr>
        <w:pStyle w:val="BodyText"/>
      </w:pPr>
      <w:r>
        <w:t xml:space="preserve">La transparencia y reproducibilidad se garantizan mediante disponibilidad del código fuente completo para replicación independiente, documentación exhaustiva de datasets procesados con estadísticas descriptivas detalladas, especificación completa de procedimientos de evaluación incluyendo métricas y parámetros, y preservación de configuraciones experimentales en formato serializado JSON para reproducción exacta.</w:t>
      </w:r>
    </w:p>
    <w:bookmarkEnd w:id="34"/>
    <w:bookmarkStart w:id="35" w:name="validez-interna-y-externa"/>
    <w:p>
      <w:pPr>
        <w:pStyle w:val="Heading3"/>
      </w:pPr>
      <w:r>
        <w:t xml:space="preserve">5.7.2 Validez Interna y Externa</w:t>
      </w:r>
    </w:p>
    <w:p>
      <w:pPr>
        <w:pStyle w:val="FirstParagraph"/>
      </w:pPr>
      <w:r>
        <w:t xml:space="preserve">La validez interna se garantiza mediante control riguroso de variables extrañas (confounding variables) a través de diseño experimental balanceado, asegurando que las diferencias observadas en las métricas se deban únicamente a los modelos de embedding y estrategias de reranking evaluados, y no a factores externos como variaciones en hardware, orden de procesamiento, o sesgo de selección. El uso de múltiples métricas independientes permite validación cruzada de conclusiones. La implementación de procedimientos de reproducibilidad estrictos mediante control de semillas aleatorias permite verificación independiente de resultados.</w:t>
      </w:r>
    </w:p>
    <w:p>
      <w:pPr>
        <w:pStyle w:val="BodyText"/>
      </w:pPr>
      <w:r>
        <w:t xml:space="preserve">La validez externa reconoce que la generalización está limitada al dominio de documentación técnica de Azure. La transferibilidad potencial a dominios técnicos similares requiere adaptación del corpus y posible reentrenamiento de modelos. La representatividad de consultas se basa en datos reales de usuarios enfrentando problemas técnicos auténticos. Las limitaciones temporales surgen de la naturaleza estática del corpus que no captura evolución continua de la documentación Azure.</w:t>
      </w:r>
    </w:p>
    <w:bookmarkEnd w:id="35"/>
    <w:bookmarkStart w:id="36" w:name="limitaciones-metodológicas"/>
    <w:p>
      <w:pPr>
        <w:pStyle w:val="Heading3"/>
      </w:pPr>
      <w:r>
        <w:t xml:space="preserve">5.7.3 Limitaciones Metodológicas</w:t>
      </w:r>
    </w:p>
    <w:p>
      <w:pPr>
        <w:pStyle w:val="FirstParagraph"/>
      </w:pPr>
      <w:r>
        <w:t xml:space="preserve">Las limitaciones del ground truth incluyen dependencia de enlaces explícitos en respuestas aceptadas, lo que limita la cobertura a un subconjunto de las preguntas totales. Existe posible sesgo hacia documentos más frecuentemente referenciados por la comunidad técnica. La validación manual se ejecuta sobre una muestra representativa que, aunque significativa, no cubre el 100% de correspondencias.</w:t>
      </w:r>
    </w:p>
    <w:p>
      <w:pPr>
        <w:pStyle w:val="BodyText"/>
      </w:pPr>
      <w:r>
        <w:t xml:space="preserve">Las limitaciones técnicas incluyen evaluación limitada a contenido textual con exclusión de multimedia (imágenes, videos, diagramas), restricciones de memoria que impiden uso de modelos de embedding de muy gran escala, y dependencia de APIs externas para algunos modelos (Ada) que introduce latencia variable y posibles fallos de conectividad.</w:t>
      </w:r>
    </w:p>
    <w:p>
      <w:pPr>
        <w:pStyle w:val="BodyText"/>
        <w:sectPr>
          <w:type w:val="nextPage"/>
        </w:sectPr>
      </w:pPr>
      <w:r>
        <w:t xml:space="preserve">Las limitaciones temporales surgen del corpus estático que no refleja evolución continua de documentación Azure, evaluación en punto único en el tiempo sin capturar variaciones temporales, y posible obsolescencia de algunos enlaces de referencia conforme Microsoft reorganice su documentación.</w:t>
      </w:r>
    </w:p>
    <w:bookmarkEnd w:id="36"/>
    <w:bookmarkEnd w:id="37"/>
    <w:bookmarkEnd w:id="38"/>
    <w:sectPr>
      <w:footnotePr>
        <w:numRestart w:val="eachSect"/>
      </w:footnotePr>
    </w:sectPr>
    <w:p>
      <w:pPr>
        <w:pStyle w:val="Title"/>
      </w:pPr>
      <w:r>
        <w:t xml:space="preserve">Capítulo 6: Implementación</w:t>
      </w:r>
    </w:p>
    <w:bookmarkStart w:id="40" w:name="implementación"/>
    <w:p>
      <w:pPr>
        <w:pStyle w:val="Heading1"/>
      </w:pPr>
      <w:r>
        <w:t xml:space="preserve">6. IMPLEMENTACIÓN</w:t>
      </w:r>
    </w:p>
    <w:bookmarkStart w:id="9" w:name="introducción"/>
    <w:p>
      <w:pPr>
        <w:pStyle w:val="Heading2"/>
      </w:pPr>
      <w:r>
        <w:t xml:space="preserve">6.1 Introducción</w:t>
      </w:r>
    </w:p>
    <w:p>
      <w:pPr>
        <w:pStyle w:val="FirstParagraph"/>
      </w:pPr>
      <w:r>
        <w:t xml:space="preserve">Este capítulo describe la implementación del sistema RAG (Retrieval-Augmented Generation) desarrollado para mejorar la gestión de tickets de soporte técnico mediante recuperación semántica de documentación de Microsoft Azure. La implementación siguió las fases 3 y 4 de la metodología Design Science Research (DSR) presentada en el Capítulo 5: Design and Development, y Demonstration.</w:t>
      </w:r>
    </w:p>
    <w:p>
      <w:pPr>
        <w:pStyle w:val="BodyText"/>
      </w:pPr>
      <w:r>
        <w:t xml:space="preserve">La</w:t>
      </w:r>
      <w:r>
        <w:t xml:space="preserve"> </w:t>
      </w:r>
      <w:r>
        <w:rPr>
          <w:b/>
          <w:bCs/>
        </w:rPr>
        <w:t xml:space="preserve">Fase 3: Design and Development</w:t>
      </w:r>
      <w:r>
        <w:t xml:space="preserve"> </w:t>
      </w:r>
      <w:r>
        <w:t xml:space="preserve">(secciones 6.3 a 6.6) abarcó la construcción completa del artefacto tecnológico. Se inició con la extracción automatizada de datos desde Microsoft Learn y Microsoft Q&amp;A (sección 6.3), estableciendo el corpus de documentación técnica y preguntas validadas. Posteriormente se implementó ChromaDB como base de datos vectorial (sección 6.4), tras evaluar y migrar desde Weaviate por consideraciones de latencia y costos. La arquitectura del sistema RAG (sección 6.5) integró cuatro modelos de embeddings (Ada, MPNet, MiniLM, E5-Large) con componentes de búsqueda vectorial y evaluación. Finalmente, el pipeline de procesamiento RAG (sección 6.6) implementó recuperación híbrida, reranking con CrossEncoder, y generación de respuestas multi-modal.</w:t>
      </w:r>
    </w:p>
    <w:p>
      <w:pPr>
        <w:pStyle w:val="BodyText"/>
      </w:pPr>
      <w:r>
        <w:t xml:space="preserve">La</w:t>
      </w:r>
      <w:r>
        <w:t xml:space="preserve"> </w:t>
      </w:r>
      <w:r>
        <w:rPr>
          <w:b/>
          <w:bCs/>
        </w:rPr>
        <w:t xml:space="preserve">Fase 4: Demonstration</w:t>
      </w:r>
      <w:r>
        <w:t xml:space="preserve"> </w:t>
      </w:r>
      <w:r>
        <w:t xml:space="preserve">(sección 6.7) desarrolló la interfaz de usuario mediante Streamlit, demostrando el uso práctico del artefacto con funcionalidades de consulta Q&amp;A y visualización de resultados experimentales. Esta fase materializó la aplicabilidad del sistema tanto para usuarios finales como para análisis académico de rendimiento.</w:t>
      </w:r>
    </w:p>
    <w:p>
      <w:pPr>
        <w:pStyle w:val="BodyText"/>
      </w:pPr>
      <w:r>
        <w:t xml:space="preserve">La arquitectura técnica priorizó la separación de responsabilidades, la extensibilidad y la reproducibilidad científica (McConnell, 2004). El diseño soportó evaluación experimental rigurosa mientras mantuvo la flexibilidad necesaria para futuras optimizaciones. Las optimizaciones y mejoras implementadas (sección 6.8) complementaron el desarrollo con consideraciones de rendimiento, calidad y extensibilidad arquitectónica.</w:t>
      </w:r>
    </w:p>
    <w:bookmarkEnd w:id="9"/>
    <w:bookmarkStart w:id="13" w:name="tecnologías-utilizadas"/>
    <w:p>
      <w:pPr>
        <w:pStyle w:val="Heading2"/>
      </w:pPr>
      <w:r>
        <w:t xml:space="preserve">6.2 Tecnologías Utilizadas</w:t>
      </w:r>
    </w:p>
    <w:bookmarkStart w:id="10" w:name="stack-tecnológico-principal"/>
    <w:p>
      <w:pPr>
        <w:pStyle w:val="Heading3"/>
      </w:pPr>
      <w:r>
        <w:t xml:space="preserve">6.2.1 Stack Tecnológico Principal</w:t>
      </w:r>
    </w:p>
    <w:p>
      <w:pPr>
        <w:pStyle w:val="FirstParagraph"/>
      </w:pPr>
      <w:r>
        <w:t xml:space="preserve">El sistema usó Python 3.12.2 como lenguaje principal por su ecosistema maduro en machine learning y procesamiento de lenguaje natural (Van Rossum &amp; Drake, 2009). Para la interfaz de usuario se adoptó Streamlit 1.46.1, que permitió desarrollo rápido de aplicaciones web interactivas con capacidades de visualización (Streamlit Team, 2023). Como motor de almacenamiento vectorial se seleccionó ChromaDB 0.5.23 por su simplicidad operacional y rendimiento en entornos de investigación (ChromaDB Team, 2024).</w:t>
      </w:r>
    </w:p>
    <w:bookmarkEnd w:id="10"/>
    <w:bookmarkStart w:id="11" w:name="librerías-especializadas-en-nlp"/>
    <w:p>
      <w:pPr>
        <w:pStyle w:val="Heading3"/>
      </w:pPr>
      <w:r>
        <w:t xml:space="preserve">6.2.2 Librerías Especializadas en NLP</w:t>
      </w:r>
    </w:p>
    <w:p>
      <w:pPr>
        <w:pStyle w:val="FirstParagraph"/>
      </w:pPr>
      <w:r>
        <w:t xml:space="preserve">Para los modelos de embeddings se utilizaron sentence-transformers 5.0.0 (MPNet, MiniLM, E5-large) y openai 1.93.0 (Ada). El procesamiento de texto requirió transformers 4.44.0 para el CrossEncoder ms-marco-MiniLM-L-6-v2, torch 2.2.2 como backend para modelos PyTorch, y bert-score 0.3.13 para métricas de evaluación semántica.</w:t>
      </w:r>
    </w:p>
    <w:bookmarkEnd w:id="11"/>
    <w:bookmarkStart w:id="12" w:name="infraestructura-de-evaluación"/>
    <w:p>
      <w:pPr>
        <w:pStyle w:val="Heading3"/>
      </w:pPr>
      <w:r>
        <w:t xml:space="preserve">6.2.3 Infraestructura de Evaluación</w:t>
      </w:r>
    </w:p>
    <w:p>
      <w:pPr>
        <w:pStyle w:val="FirstParagraph"/>
      </w:pPr>
      <w:r>
        <w:t xml:space="preserve">El entorno de cómputo incluyó Google Colab con GPU Tesla T4 para aceleración en evaluaciones masivas, Jupyter Notebooks para prototipado y análisis exploratorio, y ejecución local con CPU Intel Core i7 y 16GB RAM para desarrollo iterativo. Los datos se almacenaron en formato Parquet para embeddings pre-computados, JSON para metadatos y resultados de evaluación, y Google Drive para sincronización automática de resultados experimentales.</w:t>
      </w:r>
    </w:p>
    <w:bookmarkEnd w:id="12"/>
    <w:bookmarkEnd w:id="13"/>
    <w:bookmarkStart w:id="17" w:name="X6081b5ef57b4b0b651225fe84edaf46c751b621"/>
    <w:p>
      <w:pPr>
        <w:pStyle w:val="Heading2"/>
      </w:pPr>
      <w:r>
        <w:t xml:space="preserve">6.3 Fase 3 - Extracción Automatizada de Datos desde Microsoft Learn</w:t>
      </w:r>
    </w:p>
    <w:bookmarkStart w:id="14" w:name="herramientas-y-técnicas-de-web-scraping"/>
    <w:p>
      <w:pPr>
        <w:pStyle w:val="Heading3"/>
      </w:pPr>
      <w:r>
        <w:t xml:space="preserve">6.3.1 Herramientas y Técnicas de Web Scraping</w:t>
      </w:r>
    </w:p>
    <w:p>
      <w:pPr>
        <w:pStyle w:val="FirstParagraph"/>
      </w:pPr>
      <w:r>
        <w:t xml:space="preserve">La extracción de datos constituyó la base fundamental del sistema RAG. El desarrollo combinó Selenium para navegación dinámica y BeautifulSoup para parsing de contenido, estableciendo un método confiable para la recolección de datos técnicos especializados.</w:t>
      </w:r>
    </w:p>
    <w:p>
      <w:pPr>
        <w:pStyle w:val="BodyText"/>
      </w:pPr>
      <w:r>
        <w:t xml:space="preserve">La arquitectura de scraping utilizó Selenium WebDriver con ChromeDriver para manejar JavaScript y contenido dinámico, BeautifulSoup 4 para parsing estructurado de HTML renderizado, estrategias de espera adaptativa para carga asíncrona, y manejo robusto de errores con reintentos automáticos.</w:t>
      </w:r>
    </w:p>
    <w:p>
      <w:pPr>
        <w:pStyle w:val="BodyText"/>
      </w:pPr>
      <w:r>
        <w:t xml:space="preserve">Los desafíos técnicos principales incluyeron la carga asíncrona del contenido en Microsoft Learn, que requirió WebDriverWait con condiciones específicas. La estructura HTML variable entre páginas necesitó selectores CSS robustos y flexibles. El volumen de datos superior a 20,000 preguntas requirió un sistema incremental con checkpoints para prevenir pérdida de progreso.</w:t>
      </w:r>
    </w:p>
    <w:bookmarkEnd w:id="14"/>
    <w:bookmarkStart w:id="15" w:name="proceso-de-extracción-de-documentación"/>
    <w:p>
      <w:pPr>
        <w:pStyle w:val="Heading3"/>
      </w:pPr>
      <w:r>
        <w:t xml:space="preserve">6.3.2 Proceso de Extracción de Documentación</w:t>
      </w:r>
    </w:p>
    <w:p>
      <w:pPr>
        <w:pStyle w:val="FirstParagraph"/>
      </w:pPr>
      <w:r>
        <w:t xml:space="preserve">La extracción de documentación técnica de Microsoft Learn siguió cuatro pasos principales. Primero, la identificación de puntos de entrada navegó desde los índices principales de Azure. Segundo, el crawling recursivo siguió enlaces internos con filtrado de relevancia para evitar contenido tangencial. Tercero, la extracción de contenido procesó elementos estructurales específicos como títulos, contenido principal y metadatos. Cuarto, la normalización de datos limpió el HTML, normalizó las URLs, y estructuró la información en formato JSON.</w:t>
      </w:r>
    </w:p>
    <w:p>
      <w:pPr>
        <w:pStyle w:val="BodyText"/>
      </w:pPr>
      <w:r>
        <w:t xml:space="preserve">La estructura de datos capturó para cada documento el título, la URL normalizada, un resumen extraído del encabezado, el contenido textual completo, y enlaces relacionados a otros documentos de Microsoft Learn. Este formato estructurado facilitó la generación de embeddings.</w:t>
      </w:r>
    </w:p>
    <w:p>
      <w:pPr>
        <w:pStyle w:val="BodyText"/>
      </w:pPr>
      <w:r>
        <w:t xml:space="preserve">Los resultados verificados incluyen 62,417 documentos únicos relacionados con Azure, segmentados en 187,031 chunks procesables. La extracción logró cobertura completa de los servicios principales de Azure, preservando metadatos ricos que incluyen títulos, URLs, y contenido textual íntegro.</w:t>
      </w:r>
    </w:p>
    <w:bookmarkEnd w:id="15"/>
    <w:bookmarkStart w:id="16" w:name="X59552d883947fbddd57da7c40cfc8ed8a8d9e60"/>
    <w:p>
      <w:pPr>
        <w:pStyle w:val="Heading3"/>
      </w:pPr>
      <w:r>
        <w:t xml:space="preserve">6.3.3 Proceso de Extracción de Preguntas y Respuestas</w:t>
      </w:r>
    </w:p>
    <w:p>
      <w:pPr>
        <w:pStyle w:val="FirstParagraph"/>
      </w:pPr>
      <w:r>
        <w:t xml:space="preserve">La extracción de preguntas desde Microsoft Q&amp;A capturó no solo el contenido textual sino también las relaciones semánticas y la validación comunitaria. La metodología incluyó navegación sistemática de páginas indexadas bajo el tag</w:t>
      </w:r>
      <w:r>
        <w:t xml:space="preserve"> </w:t>
      </w:r>
      <w:r>
        <w:t xml:space="preserve">“Azure”</w:t>
      </w:r>
      <w:r>
        <w:t xml:space="preserve">, extracción de metadatos como fecha y etiquetas, identificación de respuestas aceptadas validadas por la comunidad, y extracción de enlaces a documentación oficial presentes en las respuestas.</w:t>
      </w:r>
    </w:p>
    <w:p>
      <w:pPr>
        <w:pStyle w:val="BodyText"/>
      </w:pPr>
      <w:r>
        <w:t xml:space="preserve">La estructura de datos Q&amp;A preservó el título de la pregunta, la URL original, el contenido completo de la pregunta, la respuesta aceptada por la comunidad, las etiquetas temáticas, y la fecha de publicación en formato ISO 8601.</w:t>
      </w:r>
    </w:p>
    <w:p>
      <w:pPr>
        <w:pStyle w:val="BodyText"/>
      </w:pPr>
      <w:r>
        <w:t xml:space="preserve">El dataset resultante contiene 13,436 preguntas técnicas con contenido completo, de las cuales 2,067 incluyen enlaces validados a documentación oficial que sirven como ground truth. La distribución temporal muestra concentración en 2023-2024 con 77.3% del total. La longitud promedio de pregunta alcanza 119.9 tokens, mientras que las respuestas promedian 221.6 tokens.</w:t>
      </w:r>
    </w:p>
    <w:bookmarkEnd w:id="16"/>
    <w:bookmarkEnd w:id="17"/>
    <w:bookmarkStart w:id="22" w:name="fase-3---implementación-de-chromadb"/>
    <w:p>
      <w:pPr>
        <w:pStyle w:val="Heading2"/>
      </w:pPr>
      <w:r>
        <w:t xml:space="preserve">6.4 Fase 3 - Implementación de ChromaDB</w:t>
      </w:r>
    </w:p>
    <w:bookmarkStart w:id="18" w:name="arquitectura-de-base-de-datos-vectorial"/>
    <w:p>
      <w:pPr>
        <w:pStyle w:val="Heading3"/>
      </w:pPr>
      <w:r>
        <w:t xml:space="preserve">6.4.1 Arquitectura de Base de Datos Vectorial</w:t>
      </w:r>
    </w:p>
    <w:p>
      <w:pPr>
        <w:pStyle w:val="FirstParagraph"/>
      </w:pPr>
      <w:r>
        <w:t xml:space="preserve">El proyecto inicialmente utilizó Weaviate como base de datos vectorial por su escalabilidad empresarial, API GraphQL y módulos especializados. Sin embargo, durante las pruebas preliminares se identificaron dos limitaciones críticas para el contexto de investigación académica: latencia de red de 150-300ms por consulta (impactando significativamente la velocidad de experimentación iterativa) y costos de infraestructura para mantener instancias en nube. Estas limitaciones motivaron una migración completa a ChromaDB.</w:t>
      </w:r>
    </w:p>
    <w:p>
      <w:pPr>
        <w:pStyle w:val="BodyText"/>
      </w:pPr>
      <w:r>
        <w:t xml:space="preserve">ChromaDB proporcionó latencia local menor a 10ms, portabilidad de datos sin dependencia de servicios externos, y simplicidad de configuración sin costos de infraestructura, resultando óptimo para el desarrollo iterativo y evaluación experimental que requería el proyecto. Esta decisión permitió ejecutar miles de consultas experimentales con tiempos de respuesta predecibles y sin costos adicionales.</w:t>
      </w:r>
    </w:p>
    <w:bookmarkEnd w:id="18"/>
    <w:bookmarkStart w:id="19" w:name="configuración-e-inicialización"/>
    <w:p>
      <w:pPr>
        <w:pStyle w:val="Heading3"/>
      </w:pPr>
      <w:r>
        <w:t xml:space="preserve">6.4.2 Configuración e Inicialización</w:t>
      </w:r>
    </w:p>
    <w:p>
      <w:pPr>
        <w:pStyle w:val="FirstParagraph"/>
      </w:pPr>
      <w:r>
        <w:t xml:space="preserve">ChromaDB utilizó un patrón de cliente singleton con manejo de conexiones persistentes. El wrapper del cliente manejó la inicialización con path absoluto para consistencia, implementó carga diferida (lazy loading) del cliente para optimizar memoria, y proporcionó acceso cacheado a colecciones con validación de existencia para prevenir errores en tiempo de ejecución.</w:t>
      </w:r>
    </w:p>
    <w:bookmarkEnd w:id="19"/>
    <w:bookmarkStart w:id="20" w:name="gestión-de-colecciones-multi-modelo"/>
    <w:p>
      <w:pPr>
        <w:pStyle w:val="Heading3"/>
      </w:pPr>
      <w:r>
        <w:t xml:space="preserve">6.4.3 Gestión de Colecciones Multi-Modelo</w:t>
      </w:r>
    </w:p>
    <w:p>
      <w:pPr>
        <w:pStyle w:val="FirstParagraph"/>
      </w:pPr>
      <w:r>
        <w:t xml:space="preserve">La arquitectura de almacenamiento usó colecciones separadas para cada modelo de embedding, permitiendo comparaciones directas sin interferencia cruzada. Para multi-qa-mpnet-base-dot-v1 se crearon colecciones de documentos (docs_mpnet con 187,031 documentos en 768 dimensiones), preguntas (questions_mpnet con 13,436 preguntas en 768D), y preguntas validadas (questions_withlinks con 2,067 preguntas). El mismo patrón se replicó para all-MiniLM-L6-v2 (384D), Ada (1536D), y e5-large-v2 (1024D).</w:t>
      </w:r>
    </w:p>
    <w:bookmarkEnd w:id="20"/>
    <w:bookmarkStart w:id="21" w:name="optimizaciones-de-rendimiento"/>
    <w:p>
      <w:pPr>
        <w:pStyle w:val="Heading3"/>
      </w:pPr>
      <w:r>
        <w:t xml:space="preserve">6.4.4 Optimizaciones de Rendimiento</w:t>
      </w:r>
    </w:p>
    <w:p>
      <w:pPr>
        <w:pStyle w:val="FirstParagraph"/>
      </w:pPr>
      <w:r>
        <w:t xml:space="preserve">El almacenamiento eficiente utilizó formato Parquet para embeddings pre-computados, compresión adaptativa basada en dimensionalidad, e indexación optimizada para similitud coseno. La gestión de memoria incluyó carga diferida de colecciones para minimizar footprint, cache de resultados frecuentes con política LRU de desalojo, y procesamiento por lotes para operaciones masivas.</w:t>
      </w:r>
    </w:p>
    <w:p>
      <w:pPr>
        <w:pStyle w:val="BodyText"/>
      </w:pPr>
      <w:r>
        <w:t xml:space="preserve">Las métricas de rendimiento observadas mostraron latencia promedio de consulta menor a 10ms para top-k=10, throughput de aproximadamente 241 documentos por segundo para generación de embeddings, y almacenamiento total de 6.48 GB para todas las colecciones.</w:t>
      </w:r>
    </w:p>
    <w:bookmarkEnd w:id="21"/>
    <w:bookmarkEnd w:id="22"/>
    <w:bookmarkStart w:id="28" w:name="fase-3---arquitectura-del-sistema-rag"/>
    <w:p>
      <w:pPr>
        <w:pStyle w:val="Heading2"/>
      </w:pPr>
      <w:r>
        <w:t xml:space="preserve">6.5 Fase 3 - Arquitectura del Sistema RAG</w:t>
      </w:r>
    </w:p>
    <w:bookmarkStart w:id="23" w:name="componente-de-indexación-y-embeddings"/>
    <w:p>
      <w:pPr>
        <w:pStyle w:val="Heading3"/>
      </w:pPr>
      <w:r>
        <w:t xml:space="preserve">6.5.1 Componente de Indexación y Embeddings</w:t>
      </w:r>
    </w:p>
    <w:p>
      <w:pPr>
        <w:pStyle w:val="FirstParagraph"/>
      </w:pPr>
      <w:r>
        <w:t xml:space="preserve">El sistema permitió comparación directa entre cuatro modelos de representación vectorial mediante una arquitectura modular de generación de embeddings. El cliente de embeddings usó inicialización diferida para prevenir problemas de memoria, soportó modelos distintos para consultas y documentos, y proporcionó métodos separados para generar embeddings de preguntas (modelo optimizado para queries) y embeddings de documentos (modelo optimizado para contenido largo).</w:t>
      </w:r>
    </w:p>
    <w:bookmarkEnd w:id="23"/>
    <w:bookmarkStart w:id="26" w:name="componente-de-búsqueda-vectorial"/>
    <w:p>
      <w:pPr>
        <w:pStyle w:val="Heading3"/>
      </w:pPr>
      <w:r>
        <w:t xml:space="preserve">6.5.2 Componente de Búsqueda Vectorial</w:t>
      </w:r>
    </w:p>
    <w:bookmarkStart w:id="24" w:name="Xf2faffb7d7a363d4e113b6411c9335d8f01ab42"/>
    <w:p>
      <w:pPr>
        <w:pStyle w:val="Heading4"/>
      </w:pPr>
      <w:r>
        <w:t xml:space="preserve">Búsqueda Vectorial con Filtrado de Diversidad</w:t>
      </w:r>
    </w:p>
    <w:p>
      <w:pPr>
        <w:pStyle w:val="FirstParagraph"/>
      </w:pPr>
      <w:r>
        <w:t xml:space="preserve">El componente de búsqueda usó similitud coseno con filtrado de diversidad para evitar resultados redundantes. La búsqueda inicial realizó sobremuestreo recuperando hasta tres veces el número solicitado de documentos (balanceando calidad versus rendimiento). Los resultados se filtraron mediante comparación de similitud coseno entre documentos candidatos, excluyendo aquellos con similitud superior al threshold de 0.85 respecto a documentos ya seleccionados. Este proceso garantizó que los resultados finales fueran semánticamente diversos.</w:t>
      </w:r>
    </w:p>
    <w:bookmarkEnd w:id="24"/>
    <w:bookmarkStart w:id="25" w:name="búsqueda-híbrida-por-enlaces-validados"/>
    <w:p>
      <w:pPr>
        <w:pStyle w:val="Heading4"/>
      </w:pPr>
      <w:r>
        <w:t xml:space="preserve">Búsqueda Híbrida por Enlaces Validados</w:t>
      </w:r>
    </w:p>
    <w:p>
      <w:pPr>
        <w:pStyle w:val="FirstParagraph"/>
      </w:pPr>
      <w:r>
        <w:t xml:space="preserve">El sistema combinó recuperación por enlaces directos con búsqueda vectorial. La búsqueda por lotes optimizada normalizó las URLs para coincidencia robusta, procesó enlaces en batches de 50 para mantener rendimiento, consultó ChromaDB con límite de 5,000 documentos por razones de eficiencia, y filtró resultados comparando enlaces normalizados. Esta estrategia híbrida aprovechó tanto la información estructurada (enlaces explícitos) como la similitud semántica (embeddings vectoriales).</w:t>
      </w:r>
    </w:p>
    <w:bookmarkEnd w:id="25"/>
    <w:bookmarkEnd w:id="26"/>
    <w:bookmarkStart w:id="27" w:name="componente-de-evaluación"/>
    <w:p>
      <w:pPr>
        <w:pStyle w:val="Heading3"/>
      </w:pPr>
      <w:r>
        <w:t xml:space="preserve">6.5.3 Componente de Evaluación</w:t>
      </w:r>
    </w:p>
    <w:p>
      <w:pPr>
        <w:pStyle w:val="FirstParagraph"/>
      </w:pPr>
      <w:r>
        <w:t xml:space="preserve">El cálculo de métricas de recuperación siguió estándares establecidos en literatura especializada. El sistema normalizó enlaces para comparación robusta, calculó Mean Reciprocal Rank (MRR) para evaluar la posición del primer documento relevante, y generó métricas</w:t>
      </w:r>
      <w:r>
        <w:t xml:space="preserve"> </w:t>
      </w:r>
      <w:r>
        <w:t xml:space="preserve">@k</w:t>
      </w:r>
      <w:r>
        <w:t xml:space="preserve"> </w:t>
      </w:r>
      <w:r>
        <w:t xml:space="preserve">para diferentes valores de k (1, 3, 5, 10, 15). Para cada k se calcularon Precision@k (proporción de relevantes en top-k), Recall@k (proporción de relevantes totales capturados), F1@k (media armónica de precision y recall), NDCG@k (ganancia acumulada descontada normalizada), y MAP@k (precisión promedio).</w:t>
      </w:r>
    </w:p>
    <w:bookmarkEnd w:id="27"/>
    <w:bookmarkEnd w:id="28"/>
    <w:bookmarkStart w:id="32" w:name="fase-3---pipeline-de-procesamiento-rag"/>
    <w:p>
      <w:pPr>
        <w:pStyle w:val="Heading2"/>
      </w:pPr>
      <w:r>
        <w:t xml:space="preserve">6.6 Fase 3 - Pipeline de Procesamiento RAG</w:t>
      </w:r>
    </w:p>
    <w:bookmarkStart w:id="29" w:name="pipeline-end-to-end"/>
    <w:p>
      <w:pPr>
        <w:pStyle w:val="Heading3"/>
      </w:pPr>
      <w:r>
        <w:t xml:space="preserve">6.6.1 Pipeline End-to-End</w:t>
      </w:r>
    </w:p>
    <w:p>
      <w:pPr>
        <w:pStyle w:val="FirstParagraph"/>
      </w:pPr>
      <w:r>
        <w:t xml:space="preserve">El pipeline de procesamiento integró todos los componentes en una arquitectura de ocho etapas. La Etapa 1 refinó la consulta mejorando su claridad y especificidad. La Etapa 2 generó el embedding vectorial de la consulta usando el modelo seleccionado. La Etapa 3 buscó preguntas similares en la base de datos, recuperando las top-30 más cercanas semánticamente. La Etapa 4 extrajo enlaces a documentación oficial desde las respuestas de las top-5 preguntas más similares.</w:t>
      </w:r>
    </w:p>
    <w:p>
      <w:pPr>
        <w:pStyle w:val="BodyText"/>
      </w:pPr>
      <w:r>
        <w:t xml:space="preserve">La Etapa 5 ejecutó recuperación híbrida combinando búsqueda por enlaces directos (cuando estaban disponibles) con búsqueda vectorial de documentos por similitud semántica, aplicando threshold de diversidad de 0.85. La Etapa 6 deduplicó y fusionó documentos de ambas fuentes, eliminando duplicados por URL normalizada. La Etapa 7 aplicó opcionalmente reranking neural usando CrossEncoder cuando había múltiples documentos. La Etapa 8 generó la respuesta final usando los top-3 documentos mejor rankeados como contexto.</w:t>
      </w:r>
    </w:p>
    <w:p>
      <w:pPr>
        <w:pStyle w:val="BodyText"/>
      </w:pPr>
      <w:r>
        <w:t xml:space="preserve">El pipeline registró detalladamente cada etapa, calculó métricas de tiempo de procesamiento, y retornó la pregunta original, la respuesta generada, los documentos recuperados, las preguntas similares encontradas, el log completo de procesamiento, y métricas de rendimiento incluyendo tiempo total y cantidad de documentos.</w:t>
      </w:r>
    </w:p>
    <w:bookmarkEnd w:id="29"/>
    <w:bookmarkStart w:id="30" w:name="reranking-con-crossencoder"/>
    <w:p>
      <w:pPr>
        <w:pStyle w:val="Heading3"/>
      </w:pPr>
      <w:r>
        <w:t xml:space="preserve">6.6.2 Reranking con CrossEncoder</w:t>
      </w:r>
    </w:p>
    <w:p>
      <w:pPr>
        <w:pStyle w:val="FirstParagraph"/>
      </w:pPr>
      <w:r>
        <w:t xml:space="preserve">El componente de reranking usó el modelo ms-marco-MiniLM-L-6-v2 con normalización de scores. El CrossEncoder procesó pares [pregunta, documento] generando scores de relevancia mediante atención cruzada. El sistema aplicó normalización sigmoid que mapeó logits del CrossEncoder a probabilidades en rango [0,1] mediante la función 1/(1+e^(-x)). Como respaldo, si la normalización sigmoid fallaba por overflow, se aplicó normalización min-max. Los documentos se ordenaron por los scores finales y se retornaron los top-k.</w:t>
      </w:r>
    </w:p>
    <w:bookmarkEnd w:id="30"/>
    <w:bookmarkStart w:id="31" w:name="generación-de-respuestas-multi-modal"/>
    <w:p>
      <w:pPr>
        <w:pStyle w:val="Heading3"/>
      </w:pPr>
      <w:r>
        <w:t xml:space="preserve">6.6.3 Generación de Respuestas Multi-Modal</w:t>
      </w:r>
    </w:p>
    <w:p>
      <w:pPr>
        <w:pStyle w:val="FirstParagraph"/>
      </w:pPr>
      <w:r>
        <w:t xml:space="preserve">El sistema soportó múltiples backends de generación. Para modelos locales, se preparó contexto optimizado concatenando hasta tres documentos (limitando cada uno a 800 caracteres), se construyó un prompt estructurado con contexto y pregunta, y se generó la respuesta usando modelos como TinyLlama-1.1B con temperatura baja (0.1) para respuestas deterministas y máximo de 200 tokens.</w:t>
      </w:r>
    </w:p>
    <w:bookmarkEnd w:id="31"/>
    <w:bookmarkEnd w:id="32"/>
    <w:bookmarkStart w:id="36" w:name="fase-4---interfaz-de-usuario-streamlit"/>
    <w:p>
      <w:pPr>
        <w:pStyle w:val="Heading2"/>
      </w:pPr>
      <w:r>
        <w:t xml:space="preserve">6.7 Fase 4 - Interfaz de Usuario (Streamlit)</w:t>
      </w:r>
    </w:p>
    <w:bookmarkStart w:id="33" w:name="arquitectura-multi-página"/>
    <w:p>
      <w:pPr>
        <w:pStyle w:val="Heading3"/>
      </w:pPr>
      <w:r>
        <w:t xml:space="preserve">6.7.1 Arquitectura Multi-Página</w:t>
      </w:r>
    </w:p>
    <w:p>
      <w:pPr>
        <w:pStyle w:val="FirstParagraph"/>
      </w:pPr>
      <w:r>
        <w:t xml:space="preserve">La aplicación Streamlit usó arquitectura multi-página que integró todos los componentes del sistema. La navegación incluyó página de Consulta Q&amp;A para interacción principal con el sistema RAG, dashboard de Métricas Cumulativas para visualización de resultados experimentales, y panel de Configuración para ajustes del sistema. La interfaz usó layout amplio (wide) con sidebar expandido por defecto para facilitar navegación.</w:t>
      </w:r>
    </w:p>
    <w:bookmarkEnd w:id="33"/>
    <w:bookmarkStart w:id="34" w:name="interfaz-de-consulta-qa"/>
    <w:p>
      <w:pPr>
        <w:pStyle w:val="Heading3"/>
      </w:pPr>
      <w:r>
        <w:t xml:space="preserve">6.7.2 Interfaz de Consulta Q&amp;A</w:t>
      </w:r>
    </w:p>
    <w:p>
      <w:pPr>
        <w:pStyle w:val="FirstParagraph"/>
      </w:pPr>
      <w:r>
        <w:t xml:space="preserve">La interfaz principal presentó un área de texto para formular preguntas sobre Azure, con placeholder de ejemplo para guiar al usuario. Los controles de configuración incluyeron selector de modelo de embedding (mpnet, ada, minilm, e5large), slider para especificar top-k documentos (rango 5-20), checkbox para activar CrossEncoder, y checkbox para mostrar fuentes. Al presionar el botón de búsqueda, el sistema ejecutó el pipeline RAG completo y renderizó los resultados con la respuesta generada y opcionalmente las fuentes utilizadas.</w:t>
      </w:r>
    </w:p>
    <w:bookmarkEnd w:id="34"/>
    <w:bookmarkStart w:id="35" w:name="dashboard-de-métricas"/>
    <w:p>
      <w:pPr>
        <w:pStyle w:val="Heading3"/>
      </w:pPr>
      <w:r>
        <w:t xml:space="preserve">6.7.3 Dashboard de Métricas</w:t>
      </w:r>
    </w:p>
    <w:p>
      <w:pPr>
        <w:pStyle w:val="FirstParagraph"/>
      </w:pPr>
      <w:r>
        <w:t xml:space="preserve">El dashboard de evaluación experimental presentó selector de archivo de resultados, visualizó información general del experimento en cuatro métricas principales (preguntas evaluadas, modelos comparados, top-k, método reranking), generó gráficos comparativos entre modelos, y desplegó tabla detallada de métricas con todas las medidas calculadas para cada configuración experimental.</w:t>
      </w:r>
    </w:p>
    <w:bookmarkEnd w:id="35"/>
    <w:bookmarkEnd w:id="36"/>
    <w:bookmarkStart w:id="39" w:name="optimizaciones-y-mejoras"/>
    <w:p>
      <w:pPr>
        <w:pStyle w:val="Heading2"/>
      </w:pPr>
      <w:r>
        <w:t xml:space="preserve">6.8 Optimizaciones y Mejoras</w:t>
      </w:r>
    </w:p>
    <w:bookmarkStart w:id="37" w:name="optimizaciones-de-rendimiento-1"/>
    <w:p>
      <w:pPr>
        <w:pStyle w:val="Heading3"/>
      </w:pPr>
      <w:r>
        <w:t xml:space="preserve">6.8.1 Optimizaciones de Rendimiento</w:t>
      </w:r>
    </w:p>
    <w:p>
      <w:pPr>
        <w:pStyle w:val="FirstParagraph"/>
      </w:pPr>
      <w:r>
        <w:t xml:space="preserve">El sistema de cache inteligente usó política LRU (Least Recently Used) para almacenar temporalmente modelos de embeddings cargados, eliminando automáticamente los menos utilizados al alcanzar el límite de memoria. El cache persistente almacenó en disco resultados de consultas frecuentes, evitando recálculos. La carga diferida (lazy loading) aplicó a componentes computacionalmente pesados como CrossEncoder y modelos locales, cargándolos solo cuando eran necesarios.</w:t>
      </w:r>
    </w:p>
    <w:p>
      <w:pPr>
        <w:pStyle w:val="BodyText"/>
      </w:pPr>
      <w:r>
        <w:t xml:space="preserve">El procesamiento por lotes incluyó búsquedas por enlaces con batch_size de 50, vectorización masiva para generación de embeddings, y paralelización de evaluaciones experimentales. La gestión de memoria automatizó la liberación después de evaluaciones grandes, usó generators para procesar datasets extensos sin cargar todo en memoria, y monitoreó activamente el uso con alertas cuando se aproximaba a límites.</w:t>
      </w:r>
    </w:p>
    <w:bookmarkEnd w:id="37"/>
    <w:bookmarkStart w:id="38" w:name="mejoras-de-calidad"/>
    <w:p>
      <w:pPr>
        <w:pStyle w:val="Heading3"/>
      </w:pPr>
      <w:r>
        <w:t xml:space="preserve">6.8.2 Mejoras de Calidad</w:t>
      </w:r>
    </w:p>
    <w:p>
      <w:pPr>
        <w:pStyle w:val="FirstParagraph"/>
      </w:pPr>
      <w:r>
        <w:t xml:space="preserve">El filtrado de diversidad usó un algoritmo que evitó documentos redundantes mediante threshold adaptativo basado en distribución de similitudes, preservando documentos altamente relevantes independiente de diversidad. La normalización robusta incluyó estandarización de URLs para matching preciso, limpieza adaptativa de texto para diferentes fuentes, y manejo consistente de encoding y caracteres especiales.</w:t>
      </w:r>
    </w:p>
    <w:p>
      <w:pPr>
        <w:pStyle w:val="BodyText"/>
      </w:pPr>
      <w:r>
        <w:t xml:space="preserve">La validación de calidad verificó automáticamente la integridad de embeddings, detectó documentos corrompidos o incompletos, e integró métricas de calidad de datos en el pipeline de procesamiento.</w:t>
      </w:r>
    </w:p>
    <w:p>
      <w:pPr>
        <w:pStyle w:val="BodyText"/>
      </w:pPr>
      <w:r>
        <w:t xml:space="preserve">El desarrollo siguió el flujo natural desde la extracción inicial de datos, pasando por la infraestructura de base de datos vectorial y la generación de embeddings, hasta culminar en un pipeline RAG completo con interfaz de usuario integral. Esta arquitectura modular y las optimizaciones proporcionaron una base sólida tanto para investigación académica como para potencial despliegue en producción.</w:t>
      </w:r>
    </w:p>
    <w:bookmarkEnd w:id="38"/>
    <w:bookmarkEnd w:id="39"/>
    <w:bookmarkEnd w:id="40"/>
    <w:sectPr>
      <w:footnotePr>
        <w:numRestart w:val="eachSect"/>
      </w:footnoteP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A568D" w14:textId="77777777" w:rsidR="00AC2F81" w:rsidRDefault="00AC2F81">
      <w:pPr>
        <w:spacing w:after="0" w:line="240" w:lineRule="auto"/>
      </w:pPr>
      <w:r>
        <w:separator/>
      </w:r>
    </w:p>
  </w:endnote>
  <w:endnote w:type="continuationSeparator" w:id="0">
    <w:p w14:paraId="7943267A" w14:textId="77777777" w:rsidR="00AC2F81" w:rsidRDefault="00AC2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6031" w14:textId="77777777" w:rsidR="00AC2F81" w:rsidRDefault="00AC2F81">
      <w:pPr>
        <w:spacing w:after="0" w:line="240" w:lineRule="auto"/>
      </w:pPr>
      <w:r>
        <w:separator/>
      </w:r>
    </w:p>
  </w:footnote>
  <w:footnote w:type="continuationSeparator" w:id="0">
    <w:p w14:paraId="30466386" w14:textId="77777777" w:rsidR="00AC2F81" w:rsidRDefault="00AC2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textHash int2:hashCode="oX27mms/+Gmn/y" int2:id="IsjFcybI">
      <int2:state int2:value="Rejected" int2:type="spell"/>
    </int2:textHash>
    <int2:textHash int2:hashCode="hYbHagAyIC0aaL" int2:id="Nx0hPtsM">
      <int2:state int2:value="Rejected" int2:type="AugLoop_Text_Critique"/>
    </int2:textHash>
    <int2:textHash int2:hashCode="mCOulMI3yt4WOO" int2:id="ARZsAFk0">
      <int2:state int2:value="Rejected" int2:type="spell"/>
      <int2:state int2:value="Rejected" int2:type="AugLoop_Text_Critique"/>
    </int2:textHash>
    <int2:textHash int2:hashCode="OZJGmtujfyrTNj" int2:id="Y7PPgunV">
      <int2:state int2:value="Rejected" int2:type="AugLoop_Text_Critique"/>
    </int2:textHash>
    <int2:textHash int2:hashCode="uSM2ovuK9jE0vp" int2:id="qfw6h9VG">
      <int2:state int2:value="Rejected" int2:type="AugLoop_Text_Critique"/>
    </int2:textHash>
    <int2:bookmark int2:bookmarkName="_Int_MsRt51D8" int2:invalidationBookmarkName="" int2:hashCode="RlsGwZTiRUFYJu" int2:id="loXQr82b">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14C"/>
    <w:multiLevelType w:val="multilevel"/>
    <w:tmpl w:val="8270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C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12749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71198B"/>
    <w:multiLevelType w:val="hybridMultilevel"/>
    <w:tmpl w:val="943A214E"/>
    <w:lvl w:ilvl="0" w:tplc="2F4A86D4">
      <w:start w:val="1"/>
      <w:numFmt w:val="bullet"/>
      <w:lvlText w:val=""/>
      <w:lvlJc w:val="left"/>
      <w:pPr>
        <w:ind w:left="720" w:hanging="360"/>
      </w:pPr>
      <w:rPr>
        <w:rFonts w:ascii="Symbol" w:hAnsi="Symbol" w:hint="default"/>
      </w:rPr>
    </w:lvl>
    <w:lvl w:ilvl="1" w:tplc="D3586476">
      <w:start w:val="1"/>
      <w:numFmt w:val="bullet"/>
      <w:lvlText w:val="o"/>
      <w:lvlJc w:val="left"/>
      <w:pPr>
        <w:ind w:left="1440" w:hanging="360"/>
      </w:pPr>
      <w:rPr>
        <w:rFonts w:ascii="Courier New" w:hAnsi="Courier New" w:hint="default"/>
      </w:rPr>
    </w:lvl>
    <w:lvl w:ilvl="2" w:tplc="7D6ACB98">
      <w:start w:val="1"/>
      <w:numFmt w:val="bullet"/>
      <w:lvlText w:val=""/>
      <w:lvlJc w:val="left"/>
      <w:pPr>
        <w:ind w:left="2160" w:hanging="360"/>
      </w:pPr>
      <w:rPr>
        <w:rFonts w:ascii="Wingdings" w:hAnsi="Wingdings" w:hint="default"/>
      </w:rPr>
    </w:lvl>
    <w:lvl w:ilvl="3" w:tplc="2FAAE6B8">
      <w:start w:val="1"/>
      <w:numFmt w:val="bullet"/>
      <w:lvlText w:val=""/>
      <w:lvlJc w:val="left"/>
      <w:pPr>
        <w:ind w:left="2880" w:hanging="360"/>
      </w:pPr>
      <w:rPr>
        <w:rFonts w:ascii="Symbol" w:hAnsi="Symbol" w:hint="default"/>
      </w:rPr>
    </w:lvl>
    <w:lvl w:ilvl="4" w:tplc="A0B0038E">
      <w:start w:val="1"/>
      <w:numFmt w:val="bullet"/>
      <w:lvlText w:val="o"/>
      <w:lvlJc w:val="left"/>
      <w:pPr>
        <w:ind w:left="3600" w:hanging="360"/>
      </w:pPr>
      <w:rPr>
        <w:rFonts w:ascii="Courier New" w:hAnsi="Courier New" w:hint="default"/>
      </w:rPr>
    </w:lvl>
    <w:lvl w:ilvl="5" w:tplc="CA5A67A8">
      <w:start w:val="1"/>
      <w:numFmt w:val="bullet"/>
      <w:lvlText w:val=""/>
      <w:lvlJc w:val="left"/>
      <w:pPr>
        <w:ind w:left="4320" w:hanging="360"/>
      </w:pPr>
      <w:rPr>
        <w:rFonts w:ascii="Wingdings" w:hAnsi="Wingdings" w:hint="default"/>
      </w:rPr>
    </w:lvl>
    <w:lvl w:ilvl="6" w:tplc="F5684C72">
      <w:start w:val="1"/>
      <w:numFmt w:val="bullet"/>
      <w:lvlText w:val=""/>
      <w:lvlJc w:val="left"/>
      <w:pPr>
        <w:ind w:left="5040" w:hanging="360"/>
      </w:pPr>
      <w:rPr>
        <w:rFonts w:ascii="Symbol" w:hAnsi="Symbol" w:hint="default"/>
      </w:rPr>
    </w:lvl>
    <w:lvl w:ilvl="7" w:tplc="40DE1508">
      <w:start w:val="1"/>
      <w:numFmt w:val="bullet"/>
      <w:lvlText w:val="o"/>
      <w:lvlJc w:val="left"/>
      <w:pPr>
        <w:ind w:left="5760" w:hanging="360"/>
      </w:pPr>
      <w:rPr>
        <w:rFonts w:ascii="Courier New" w:hAnsi="Courier New" w:hint="default"/>
      </w:rPr>
    </w:lvl>
    <w:lvl w:ilvl="8" w:tplc="4D04F8C4">
      <w:start w:val="1"/>
      <w:numFmt w:val="bullet"/>
      <w:lvlText w:val=""/>
      <w:lvlJc w:val="left"/>
      <w:pPr>
        <w:ind w:left="6480" w:hanging="360"/>
      </w:pPr>
      <w:rPr>
        <w:rFonts w:ascii="Wingdings" w:hAnsi="Wingdings" w:hint="default"/>
      </w:rPr>
    </w:lvl>
  </w:abstractNum>
  <w:abstractNum w:abstractNumId="4" w15:restartNumberingAfterBreak="0">
    <w:nsid w:val="147F7493"/>
    <w:multiLevelType w:val="multilevel"/>
    <w:tmpl w:val="E7C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B57AC"/>
    <w:multiLevelType w:val="hybridMultilevel"/>
    <w:tmpl w:val="678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17763"/>
    <w:multiLevelType w:val="hybridMultilevel"/>
    <w:tmpl w:val="F7F8A6F2"/>
    <w:lvl w:ilvl="0" w:tplc="2B20EFB0">
      <w:start w:val="3"/>
      <w:numFmt w:val="decimal"/>
      <w:lvlText w:val="%1."/>
      <w:lvlJc w:val="left"/>
      <w:pPr>
        <w:ind w:left="720" w:hanging="360"/>
      </w:pPr>
    </w:lvl>
    <w:lvl w:ilvl="1" w:tplc="E48A310E">
      <w:start w:val="1"/>
      <w:numFmt w:val="lowerLetter"/>
      <w:lvlText w:val="%2."/>
      <w:lvlJc w:val="left"/>
      <w:pPr>
        <w:ind w:left="1440" w:hanging="360"/>
      </w:pPr>
    </w:lvl>
    <w:lvl w:ilvl="2" w:tplc="5E426ED0">
      <w:start w:val="1"/>
      <w:numFmt w:val="lowerRoman"/>
      <w:lvlText w:val="%3."/>
      <w:lvlJc w:val="right"/>
      <w:pPr>
        <w:ind w:left="2160" w:hanging="180"/>
      </w:pPr>
    </w:lvl>
    <w:lvl w:ilvl="3" w:tplc="BCDAA4C8">
      <w:start w:val="1"/>
      <w:numFmt w:val="decimal"/>
      <w:lvlText w:val="%4."/>
      <w:lvlJc w:val="left"/>
      <w:pPr>
        <w:ind w:left="2880" w:hanging="360"/>
      </w:pPr>
    </w:lvl>
    <w:lvl w:ilvl="4" w:tplc="15E414C0">
      <w:start w:val="1"/>
      <w:numFmt w:val="lowerLetter"/>
      <w:lvlText w:val="%5."/>
      <w:lvlJc w:val="left"/>
      <w:pPr>
        <w:ind w:left="3600" w:hanging="360"/>
      </w:pPr>
    </w:lvl>
    <w:lvl w:ilvl="5" w:tplc="82D80C90">
      <w:start w:val="1"/>
      <w:numFmt w:val="lowerRoman"/>
      <w:lvlText w:val="%6."/>
      <w:lvlJc w:val="right"/>
      <w:pPr>
        <w:ind w:left="4320" w:hanging="180"/>
      </w:pPr>
    </w:lvl>
    <w:lvl w:ilvl="6" w:tplc="51409A58">
      <w:start w:val="1"/>
      <w:numFmt w:val="decimal"/>
      <w:lvlText w:val="%7."/>
      <w:lvlJc w:val="left"/>
      <w:pPr>
        <w:ind w:left="5040" w:hanging="360"/>
      </w:pPr>
    </w:lvl>
    <w:lvl w:ilvl="7" w:tplc="BD6A1A1C">
      <w:start w:val="1"/>
      <w:numFmt w:val="lowerLetter"/>
      <w:lvlText w:val="%8."/>
      <w:lvlJc w:val="left"/>
      <w:pPr>
        <w:ind w:left="5760" w:hanging="360"/>
      </w:pPr>
    </w:lvl>
    <w:lvl w:ilvl="8" w:tplc="EE467366">
      <w:start w:val="1"/>
      <w:numFmt w:val="lowerRoman"/>
      <w:lvlText w:val="%9."/>
      <w:lvlJc w:val="right"/>
      <w:pPr>
        <w:ind w:left="6480" w:hanging="180"/>
      </w:pPr>
    </w:lvl>
  </w:abstractNum>
  <w:abstractNum w:abstractNumId="7" w15:restartNumberingAfterBreak="0">
    <w:nsid w:val="18BC25B7"/>
    <w:multiLevelType w:val="hybridMultilevel"/>
    <w:tmpl w:val="1FDA36D8"/>
    <w:lvl w:ilvl="0" w:tplc="85C0B4B4">
      <w:start w:val="1"/>
      <w:numFmt w:val="bullet"/>
      <w:lvlText w:val=""/>
      <w:lvlJc w:val="left"/>
      <w:pPr>
        <w:ind w:left="720" w:hanging="360"/>
      </w:pPr>
      <w:rPr>
        <w:rFonts w:ascii="Symbol" w:hAnsi="Symbol" w:hint="default"/>
      </w:rPr>
    </w:lvl>
    <w:lvl w:ilvl="1" w:tplc="D50A7EE0">
      <w:start w:val="1"/>
      <w:numFmt w:val="bullet"/>
      <w:lvlText w:val="o"/>
      <w:lvlJc w:val="left"/>
      <w:pPr>
        <w:ind w:left="1440" w:hanging="360"/>
      </w:pPr>
      <w:rPr>
        <w:rFonts w:ascii="Courier New" w:hAnsi="Courier New" w:hint="default"/>
      </w:rPr>
    </w:lvl>
    <w:lvl w:ilvl="2" w:tplc="E72E8868">
      <w:start w:val="1"/>
      <w:numFmt w:val="bullet"/>
      <w:lvlText w:val=""/>
      <w:lvlJc w:val="left"/>
      <w:pPr>
        <w:ind w:left="2160" w:hanging="360"/>
      </w:pPr>
      <w:rPr>
        <w:rFonts w:ascii="Wingdings" w:hAnsi="Wingdings" w:hint="default"/>
      </w:rPr>
    </w:lvl>
    <w:lvl w:ilvl="3" w:tplc="5DD42858">
      <w:start w:val="1"/>
      <w:numFmt w:val="bullet"/>
      <w:lvlText w:val=""/>
      <w:lvlJc w:val="left"/>
      <w:pPr>
        <w:ind w:left="2880" w:hanging="360"/>
      </w:pPr>
      <w:rPr>
        <w:rFonts w:ascii="Symbol" w:hAnsi="Symbol" w:hint="default"/>
      </w:rPr>
    </w:lvl>
    <w:lvl w:ilvl="4" w:tplc="39F82758">
      <w:start w:val="1"/>
      <w:numFmt w:val="bullet"/>
      <w:lvlText w:val="o"/>
      <w:lvlJc w:val="left"/>
      <w:pPr>
        <w:ind w:left="3600" w:hanging="360"/>
      </w:pPr>
      <w:rPr>
        <w:rFonts w:ascii="Courier New" w:hAnsi="Courier New" w:hint="default"/>
      </w:rPr>
    </w:lvl>
    <w:lvl w:ilvl="5" w:tplc="B0869DFA">
      <w:start w:val="1"/>
      <w:numFmt w:val="bullet"/>
      <w:lvlText w:val=""/>
      <w:lvlJc w:val="left"/>
      <w:pPr>
        <w:ind w:left="4320" w:hanging="360"/>
      </w:pPr>
      <w:rPr>
        <w:rFonts w:ascii="Wingdings" w:hAnsi="Wingdings" w:hint="default"/>
      </w:rPr>
    </w:lvl>
    <w:lvl w:ilvl="6" w:tplc="2ADA54C4">
      <w:start w:val="1"/>
      <w:numFmt w:val="bullet"/>
      <w:lvlText w:val=""/>
      <w:lvlJc w:val="left"/>
      <w:pPr>
        <w:ind w:left="5040" w:hanging="360"/>
      </w:pPr>
      <w:rPr>
        <w:rFonts w:ascii="Symbol" w:hAnsi="Symbol" w:hint="default"/>
      </w:rPr>
    </w:lvl>
    <w:lvl w:ilvl="7" w:tplc="7B5A9D9E">
      <w:start w:val="1"/>
      <w:numFmt w:val="bullet"/>
      <w:lvlText w:val="o"/>
      <w:lvlJc w:val="left"/>
      <w:pPr>
        <w:ind w:left="5760" w:hanging="360"/>
      </w:pPr>
      <w:rPr>
        <w:rFonts w:ascii="Courier New" w:hAnsi="Courier New" w:hint="default"/>
      </w:rPr>
    </w:lvl>
    <w:lvl w:ilvl="8" w:tplc="618E1390">
      <w:start w:val="1"/>
      <w:numFmt w:val="bullet"/>
      <w:lvlText w:val=""/>
      <w:lvlJc w:val="left"/>
      <w:pPr>
        <w:ind w:left="6480" w:hanging="360"/>
      </w:pPr>
      <w:rPr>
        <w:rFonts w:ascii="Wingdings" w:hAnsi="Wingdings" w:hint="default"/>
      </w:rPr>
    </w:lvl>
  </w:abstractNum>
  <w:abstractNum w:abstractNumId="8" w15:restartNumberingAfterBreak="0">
    <w:nsid w:val="1967A436"/>
    <w:multiLevelType w:val="hybridMultilevel"/>
    <w:tmpl w:val="61767EFA"/>
    <w:lvl w:ilvl="0" w:tplc="D50494D0">
      <w:start w:val="4"/>
      <w:numFmt w:val="decimal"/>
      <w:lvlText w:val="%1."/>
      <w:lvlJc w:val="left"/>
      <w:pPr>
        <w:ind w:left="720" w:hanging="360"/>
      </w:pPr>
    </w:lvl>
    <w:lvl w:ilvl="1" w:tplc="5FFCDAD8">
      <w:start w:val="1"/>
      <w:numFmt w:val="lowerLetter"/>
      <w:lvlText w:val="%2."/>
      <w:lvlJc w:val="left"/>
      <w:pPr>
        <w:ind w:left="1440" w:hanging="360"/>
      </w:pPr>
    </w:lvl>
    <w:lvl w:ilvl="2" w:tplc="4820631A">
      <w:start w:val="1"/>
      <w:numFmt w:val="lowerRoman"/>
      <w:lvlText w:val="%3."/>
      <w:lvlJc w:val="right"/>
      <w:pPr>
        <w:ind w:left="2160" w:hanging="180"/>
      </w:pPr>
    </w:lvl>
    <w:lvl w:ilvl="3" w:tplc="43CEA8EE">
      <w:start w:val="1"/>
      <w:numFmt w:val="decimal"/>
      <w:lvlText w:val="%4."/>
      <w:lvlJc w:val="left"/>
      <w:pPr>
        <w:ind w:left="2880" w:hanging="360"/>
      </w:pPr>
    </w:lvl>
    <w:lvl w:ilvl="4" w:tplc="58F8A40C">
      <w:start w:val="1"/>
      <w:numFmt w:val="lowerLetter"/>
      <w:lvlText w:val="%5."/>
      <w:lvlJc w:val="left"/>
      <w:pPr>
        <w:ind w:left="3600" w:hanging="360"/>
      </w:pPr>
    </w:lvl>
    <w:lvl w:ilvl="5" w:tplc="C9289C1E">
      <w:start w:val="1"/>
      <w:numFmt w:val="lowerRoman"/>
      <w:lvlText w:val="%6."/>
      <w:lvlJc w:val="right"/>
      <w:pPr>
        <w:ind w:left="4320" w:hanging="180"/>
      </w:pPr>
    </w:lvl>
    <w:lvl w:ilvl="6" w:tplc="D70A3544">
      <w:start w:val="1"/>
      <w:numFmt w:val="decimal"/>
      <w:lvlText w:val="%7."/>
      <w:lvlJc w:val="left"/>
      <w:pPr>
        <w:ind w:left="5040" w:hanging="360"/>
      </w:pPr>
    </w:lvl>
    <w:lvl w:ilvl="7" w:tplc="0108EC38">
      <w:start w:val="1"/>
      <w:numFmt w:val="lowerLetter"/>
      <w:lvlText w:val="%8."/>
      <w:lvlJc w:val="left"/>
      <w:pPr>
        <w:ind w:left="5760" w:hanging="360"/>
      </w:pPr>
    </w:lvl>
    <w:lvl w:ilvl="8" w:tplc="D5D84480">
      <w:start w:val="1"/>
      <w:numFmt w:val="lowerRoman"/>
      <w:lvlText w:val="%9."/>
      <w:lvlJc w:val="right"/>
      <w:pPr>
        <w:ind w:left="6480" w:hanging="180"/>
      </w:pPr>
    </w:lvl>
  </w:abstractNum>
  <w:abstractNum w:abstractNumId="9" w15:restartNumberingAfterBreak="0">
    <w:nsid w:val="1A3E05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D67E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0A1E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F601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07E37E"/>
    <w:multiLevelType w:val="hybridMultilevel"/>
    <w:tmpl w:val="C7F0C9C0"/>
    <w:lvl w:ilvl="0" w:tplc="66984E22">
      <w:start w:val="1"/>
      <w:numFmt w:val="decimal"/>
      <w:lvlText w:val="%1."/>
      <w:lvlJc w:val="left"/>
      <w:pPr>
        <w:ind w:left="720" w:hanging="360"/>
      </w:pPr>
    </w:lvl>
    <w:lvl w:ilvl="1" w:tplc="D250D306">
      <w:start w:val="1"/>
      <w:numFmt w:val="lowerLetter"/>
      <w:lvlText w:val="%2."/>
      <w:lvlJc w:val="left"/>
      <w:pPr>
        <w:ind w:left="1440" w:hanging="360"/>
      </w:pPr>
    </w:lvl>
    <w:lvl w:ilvl="2" w:tplc="0D3AB42E">
      <w:start w:val="1"/>
      <w:numFmt w:val="lowerRoman"/>
      <w:lvlText w:val="%3."/>
      <w:lvlJc w:val="right"/>
      <w:pPr>
        <w:ind w:left="2160" w:hanging="180"/>
      </w:pPr>
    </w:lvl>
    <w:lvl w:ilvl="3" w:tplc="DE18BD58">
      <w:start w:val="1"/>
      <w:numFmt w:val="decimal"/>
      <w:lvlText w:val="%4."/>
      <w:lvlJc w:val="left"/>
      <w:pPr>
        <w:ind w:left="2880" w:hanging="360"/>
      </w:pPr>
    </w:lvl>
    <w:lvl w:ilvl="4" w:tplc="64CC574A">
      <w:start w:val="1"/>
      <w:numFmt w:val="lowerLetter"/>
      <w:lvlText w:val="%5."/>
      <w:lvlJc w:val="left"/>
      <w:pPr>
        <w:ind w:left="3600" w:hanging="360"/>
      </w:pPr>
    </w:lvl>
    <w:lvl w:ilvl="5" w:tplc="2FE25898">
      <w:start w:val="1"/>
      <w:numFmt w:val="lowerRoman"/>
      <w:lvlText w:val="%6."/>
      <w:lvlJc w:val="right"/>
      <w:pPr>
        <w:ind w:left="4320" w:hanging="180"/>
      </w:pPr>
    </w:lvl>
    <w:lvl w:ilvl="6" w:tplc="3BA80502">
      <w:start w:val="1"/>
      <w:numFmt w:val="decimal"/>
      <w:lvlText w:val="%7."/>
      <w:lvlJc w:val="left"/>
      <w:pPr>
        <w:ind w:left="5040" w:hanging="360"/>
      </w:pPr>
    </w:lvl>
    <w:lvl w:ilvl="7" w:tplc="93B2794C">
      <w:start w:val="1"/>
      <w:numFmt w:val="lowerLetter"/>
      <w:lvlText w:val="%8."/>
      <w:lvlJc w:val="left"/>
      <w:pPr>
        <w:ind w:left="5760" w:hanging="360"/>
      </w:pPr>
    </w:lvl>
    <w:lvl w:ilvl="8" w:tplc="CAB059B2">
      <w:start w:val="1"/>
      <w:numFmt w:val="lowerRoman"/>
      <w:lvlText w:val="%9."/>
      <w:lvlJc w:val="right"/>
      <w:pPr>
        <w:ind w:left="6480" w:hanging="180"/>
      </w:pPr>
    </w:lvl>
  </w:abstractNum>
  <w:abstractNum w:abstractNumId="14" w15:restartNumberingAfterBreak="0">
    <w:nsid w:val="29F54D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F531E7"/>
    <w:multiLevelType w:val="hybridMultilevel"/>
    <w:tmpl w:val="9774D628"/>
    <w:lvl w:ilvl="0" w:tplc="61DE1A3E">
      <w:start w:val="1"/>
      <w:numFmt w:val="bullet"/>
      <w:lvlText w:val=""/>
      <w:lvlJc w:val="left"/>
      <w:pPr>
        <w:ind w:left="720" w:hanging="360"/>
      </w:pPr>
      <w:rPr>
        <w:rFonts w:ascii="Symbol" w:hAnsi="Symbol" w:hint="default"/>
      </w:rPr>
    </w:lvl>
    <w:lvl w:ilvl="1" w:tplc="09C08B3C">
      <w:start w:val="1"/>
      <w:numFmt w:val="bullet"/>
      <w:lvlText w:val="o"/>
      <w:lvlJc w:val="left"/>
      <w:pPr>
        <w:ind w:left="1440" w:hanging="360"/>
      </w:pPr>
      <w:rPr>
        <w:rFonts w:ascii="Courier New" w:hAnsi="Courier New" w:hint="default"/>
      </w:rPr>
    </w:lvl>
    <w:lvl w:ilvl="2" w:tplc="08B202E0">
      <w:start w:val="1"/>
      <w:numFmt w:val="bullet"/>
      <w:lvlText w:val=""/>
      <w:lvlJc w:val="left"/>
      <w:pPr>
        <w:ind w:left="2160" w:hanging="360"/>
      </w:pPr>
      <w:rPr>
        <w:rFonts w:ascii="Wingdings" w:hAnsi="Wingdings" w:hint="default"/>
      </w:rPr>
    </w:lvl>
    <w:lvl w:ilvl="3" w:tplc="9BF20F84">
      <w:start w:val="1"/>
      <w:numFmt w:val="bullet"/>
      <w:lvlText w:val=""/>
      <w:lvlJc w:val="left"/>
      <w:pPr>
        <w:ind w:left="2880" w:hanging="360"/>
      </w:pPr>
      <w:rPr>
        <w:rFonts w:ascii="Symbol" w:hAnsi="Symbol" w:hint="default"/>
      </w:rPr>
    </w:lvl>
    <w:lvl w:ilvl="4" w:tplc="BC360026">
      <w:start w:val="1"/>
      <w:numFmt w:val="bullet"/>
      <w:lvlText w:val="o"/>
      <w:lvlJc w:val="left"/>
      <w:pPr>
        <w:ind w:left="3600" w:hanging="360"/>
      </w:pPr>
      <w:rPr>
        <w:rFonts w:ascii="Courier New" w:hAnsi="Courier New" w:hint="default"/>
      </w:rPr>
    </w:lvl>
    <w:lvl w:ilvl="5" w:tplc="0D049268">
      <w:start w:val="1"/>
      <w:numFmt w:val="bullet"/>
      <w:lvlText w:val=""/>
      <w:lvlJc w:val="left"/>
      <w:pPr>
        <w:ind w:left="4320" w:hanging="360"/>
      </w:pPr>
      <w:rPr>
        <w:rFonts w:ascii="Wingdings" w:hAnsi="Wingdings" w:hint="default"/>
      </w:rPr>
    </w:lvl>
    <w:lvl w:ilvl="6" w:tplc="1BF6F476">
      <w:start w:val="1"/>
      <w:numFmt w:val="bullet"/>
      <w:lvlText w:val=""/>
      <w:lvlJc w:val="left"/>
      <w:pPr>
        <w:ind w:left="5040" w:hanging="360"/>
      </w:pPr>
      <w:rPr>
        <w:rFonts w:ascii="Symbol" w:hAnsi="Symbol" w:hint="default"/>
      </w:rPr>
    </w:lvl>
    <w:lvl w:ilvl="7" w:tplc="0F2091B2">
      <w:start w:val="1"/>
      <w:numFmt w:val="bullet"/>
      <w:lvlText w:val="o"/>
      <w:lvlJc w:val="left"/>
      <w:pPr>
        <w:ind w:left="5760" w:hanging="360"/>
      </w:pPr>
      <w:rPr>
        <w:rFonts w:ascii="Courier New" w:hAnsi="Courier New" w:hint="default"/>
      </w:rPr>
    </w:lvl>
    <w:lvl w:ilvl="8" w:tplc="06426B1C">
      <w:start w:val="1"/>
      <w:numFmt w:val="bullet"/>
      <w:lvlText w:val=""/>
      <w:lvlJc w:val="left"/>
      <w:pPr>
        <w:ind w:left="6480" w:hanging="360"/>
      </w:pPr>
      <w:rPr>
        <w:rFonts w:ascii="Wingdings" w:hAnsi="Wingdings" w:hint="default"/>
      </w:rPr>
    </w:lvl>
  </w:abstractNum>
  <w:abstractNum w:abstractNumId="16" w15:restartNumberingAfterBreak="0">
    <w:nsid w:val="313D2B2D"/>
    <w:multiLevelType w:val="hybridMultilevel"/>
    <w:tmpl w:val="354E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E00E8"/>
    <w:multiLevelType w:val="hybridMultilevel"/>
    <w:tmpl w:val="A26A4460"/>
    <w:lvl w:ilvl="0" w:tplc="7DC8BDF4">
      <w:start w:val="1"/>
      <w:numFmt w:val="bullet"/>
      <w:lvlText w:val=""/>
      <w:lvlJc w:val="left"/>
      <w:pPr>
        <w:ind w:left="720" w:hanging="360"/>
      </w:pPr>
      <w:rPr>
        <w:rFonts w:ascii="Symbol" w:hAnsi="Symbol" w:hint="default"/>
      </w:rPr>
    </w:lvl>
    <w:lvl w:ilvl="1" w:tplc="D6389EC0">
      <w:start w:val="1"/>
      <w:numFmt w:val="bullet"/>
      <w:lvlText w:val="o"/>
      <w:lvlJc w:val="left"/>
      <w:pPr>
        <w:ind w:left="1440" w:hanging="360"/>
      </w:pPr>
      <w:rPr>
        <w:rFonts w:ascii="Courier New" w:hAnsi="Courier New" w:hint="default"/>
      </w:rPr>
    </w:lvl>
    <w:lvl w:ilvl="2" w:tplc="9D5C4554">
      <w:start w:val="1"/>
      <w:numFmt w:val="bullet"/>
      <w:lvlText w:val=""/>
      <w:lvlJc w:val="left"/>
      <w:pPr>
        <w:ind w:left="2160" w:hanging="360"/>
      </w:pPr>
      <w:rPr>
        <w:rFonts w:ascii="Wingdings" w:hAnsi="Wingdings" w:hint="default"/>
      </w:rPr>
    </w:lvl>
    <w:lvl w:ilvl="3" w:tplc="0AC8D49C">
      <w:start w:val="1"/>
      <w:numFmt w:val="bullet"/>
      <w:lvlText w:val=""/>
      <w:lvlJc w:val="left"/>
      <w:pPr>
        <w:ind w:left="2880" w:hanging="360"/>
      </w:pPr>
      <w:rPr>
        <w:rFonts w:ascii="Symbol" w:hAnsi="Symbol" w:hint="default"/>
      </w:rPr>
    </w:lvl>
    <w:lvl w:ilvl="4" w:tplc="117890B6">
      <w:start w:val="1"/>
      <w:numFmt w:val="bullet"/>
      <w:lvlText w:val="o"/>
      <w:lvlJc w:val="left"/>
      <w:pPr>
        <w:ind w:left="3600" w:hanging="360"/>
      </w:pPr>
      <w:rPr>
        <w:rFonts w:ascii="Courier New" w:hAnsi="Courier New" w:hint="default"/>
      </w:rPr>
    </w:lvl>
    <w:lvl w:ilvl="5" w:tplc="2792975A">
      <w:start w:val="1"/>
      <w:numFmt w:val="bullet"/>
      <w:lvlText w:val=""/>
      <w:lvlJc w:val="left"/>
      <w:pPr>
        <w:ind w:left="4320" w:hanging="360"/>
      </w:pPr>
      <w:rPr>
        <w:rFonts w:ascii="Wingdings" w:hAnsi="Wingdings" w:hint="default"/>
      </w:rPr>
    </w:lvl>
    <w:lvl w:ilvl="6" w:tplc="E4B0D1C6">
      <w:start w:val="1"/>
      <w:numFmt w:val="bullet"/>
      <w:lvlText w:val=""/>
      <w:lvlJc w:val="left"/>
      <w:pPr>
        <w:ind w:left="5040" w:hanging="360"/>
      </w:pPr>
      <w:rPr>
        <w:rFonts w:ascii="Symbol" w:hAnsi="Symbol" w:hint="default"/>
      </w:rPr>
    </w:lvl>
    <w:lvl w:ilvl="7" w:tplc="1C765C2A">
      <w:start w:val="1"/>
      <w:numFmt w:val="bullet"/>
      <w:lvlText w:val="o"/>
      <w:lvlJc w:val="left"/>
      <w:pPr>
        <w:ind w:left="5760" w:hanging="360"/>
      </w:pPr>
      <w:rPr>
        <w:rFonts w:ascii="Courier New" w:hAnsi="Courier New" w:hint="default"/>
      </w:rPr>
    </w:lvl>
    <w:lvl w:ilvl="8" w:tplc="19FC373C">
      <w:start w:val="1"/>
      <w:numFmt w:val="bullet"/>
      <w:lvlText w:val=""/>
      <w:lvlJc w:val="left"/>
      <w:pPr>
        <w:ind w:left="6480" w:hanging="360"/>
      </w:pPr>
      <w:rPr>
        <w:rFonts w:ascii="Wingdings" w:hAnsi="Wingdings" w:hint="default"/>
      </w:rPr>
    </w:lvl>
  </w:abstractNum>
  <w:abstractNum w:abstractNumId="18" w15:restartNumberingAfterBreak="0">
    <w:nsid w:val="32D41A0F"/>
    <w:multiLevelType w:val="hybridMultilevel"/>
    <w:tmpl w:val="B6241F1E"/>
    <w:lvl w:ilvl="0" w:tplc="2084C770">
      <w:start w:val="2"/>
      <w:numFmt w:val="decimal"/>
      <w:lvlText w:val="%1."/>
      <w:lvlJc w:val="left"/>
      <w:pPr>
        <w:ind w:left="720" w:hanging="360"/>
      </w:pPr>
    </w:lvl>
    <w:lvl w:ilvl="1" w:tplc="B6BCC87E">
      <w:start w:val="1"/>
      <w:numFmt w:val="lowerLetter"/>
      <w:lvlText w:val="%2."/>
      <w:lvlJc w:val="left"/>
      <w:pPr>
        <w:ind w:left="1440" w:hanging="360"/>
      </w:pPr>
    </w:lvl>
    <w:lvl w:ilvl="2" w:tplc="31E6AF70">
      <w:start w:val="1"/>
      <w:numFmt w:val="lowerRoman"/>
      <w:lvlText w:val="%3."/>
      <w:lvlJc w:val="right"/>
      <w:pPr>
        <w:ind w:left="2160" w:hanging="180"/>
      </w:pPr>
    </w:lvl>
    <w:lvl w:ilvl="3" w:tplc="CD26C6CA">
      <w:start w:val="1"/>
      <w:numFmt w:val="decimal"/>
      <w:lvlText w:val="%4."/>
      <w:lvlJc w:val="left"/>
      <w:pPr>
        <w:ind w:left="2880" w:hanging="360"/>
      </w:pPr>
    </w:lvl>
    <w:lvl w:ilvl="4" w:tplc="C630C494">
      <w:start w:val="1"/>
      <w:numFmt w:val="lowerLetter"/>
      <w:lvlText w:val="%5."/>
      <w:lvlJc w:val="left"/>
      <w:pPr>
        <w:ind w:left="3600" w:hanging="360"/>
      </w:pPr>
    </w:lvl>
    <w:lvl w:ilvl="5" w:tplc="F4447170">
      <w:start w:val="1"/>
      <w:numFmt w:val="lowerRoman"/>
      <w:lvlText w:val="%6."/>
      <w:lvlJc w:val="right"/>
      <w:pPr>
        <w:ind w:left="4320" w:hanging="180"/>
      </w:pPr>
    </w:lvl>
    <w:lvl w:ilvl="6" w:tplc="2EE2F446">
      <w:start w:val="1"/>
      <w:numFmt w:val="decimal"/>
      <w:lvlText w:val="%7."/>
      <w:lvlJc w:val="left"/>
      <w:pPr>
        <w:ind w:left="5040" w:hanging="360"/>
      </w:pPr>
    </w:lvl>
    <w:lvl w:ilvl="7" w:tplc="CA40894A">
      <w:start w:val="1"/>
      <w:numFmt w:val="lowerLetter"/>
      <w:lvlText w:val="%8."/>
      <w:lvlJc w:val="left"/>
      <w:pPr>
        <w:ind w:left="5760" w:hanging="360"/>
      </w:pPr>
    </w:lvl>
    <w:lvl w:ilvl="8" w:tplc="5140764E">
      <w:start w:val="1"/>
      <w:numFmt w:val="lowerRoman"/>
      <w:lvlText w:val="%9."/>
      <w:lvlJc w:val="right"/>
      <w:pPr>
        <w:ind w:left="6480" w:hanging="180"/>
      </w:pPr>
    </w:lvl>
  </w:abstractNum>
  <w:abstractNum w:abstractNumId="19" w15:restartNumberingAfterBreak="0">
    <w:nsid w:val="384C764D"/>
    <w:multiLevelType w:val="hybridMultilevel"/>
    <w:tmpl w:val="C756D166"/>
    <w:lvl w:ilvl="0" w:tplc="E9D8BF30">
      <w:start w:val="5"/>
      <w:numFmt w:val="decimal"/>
      <w:lvlText w:val="%1."/>
      <w:lvlJc w:val="left"/>
      <w:pPr>
        <w:ind w:left="720" w:hanging="360"/>
      </w:pPr>
    </w:lvl>
    <w:lvl w:ilvl="1" w:tplc="1AA820E6">
      <w:start w:val="1"/>
      <w:numFmt w:val="lowerLetter"/>
      <w:lvlText w:val="%2."/>
      <w:lvlJc w:val="left"/>
      <w:pPr>
        <w:ind w:left="1440" w:hanging="360"/>
      </w:pPr>
    </w:lvl>
    <w:lvl w:ilvl="2" w:tplc="8D0EDD44">
      <w:start w:val="1"/>
      <w:numFmt w:val="lowerRoman"/>
      <w:lvlText w:val="%3."/>
      <w:lvlJc w:val="right"/>
      <w:pPr>
        <w:ind w:left="2160" w:hanging="180"/>
      </w:pPr>
    </w:lvl>
    <w:lvl w:ilvl="3" w:tplc="FC48E6A8">
      <w:start w:val="1"/>
      <w:numFmt w:val="decimal"/>
      <w:lvlText w:val="%4."/>
      <w:lvlJc w:val="left"/>
      <w:pPr>
        <w:ind w:left="2880" w:hanging="360"/>
      </w:pPr>
    </w:lvl>
    <w:lvl w:ilvl="4" w:tplc="55BC853C">
      <w:start w:val="1"/>
      <w:numFmt w:val="lowerLetter"/>
      <w:lvlText w:val="%5."/>
      <w:lvlJc w:val="left"/>
      <w:pPr>
        <w:ind w:left="3600" w:hanging="360"/>
      </w:pPr>
    </w:lvl>
    <w:lvl w:ilvl="5" w:tplc="D0E09FAC">
      <w:start w:val="1"/>
      <w:numFmt w:val="lowerRoman"/>
      <w:lvlText w:val="%6."/>
      <w:lvlJc w:val="right"/>
      <w:pPr>
        <w:ind w:left="4320" w:hanging="180"/>
      </w:pPr>
    </w:lvl>
    <w:lvl w:ilvl="6" w:tplc="24088ADC">
      <w:start w:val="1"/>
      <w:numFmt w:val="decimal"/>
      <w:lvlText w:val="%7."/>
      <w:lvlJc w:val="left"/>
      <w:pPr>
        <w:ind w:left="5040" w:hanging="360"/>
      </w:pPr>
    </w:lvl>
    <w:lvl w:ilvl="7" w:tplc="7A8E19D2">
      <w:start w:val="1"/>
      <w:numFmt w:val="lowerLetter"/>
      <w:lvlText w:val="%8."/>
      <w:lvlJc w:val="left"/>
      <w:pPr>
        <w:ind w:left="5760" w:hanging="360"/>
      </w:pPr>
    </w:lvl>
    <w:lvl w:ilvl="8" w:tplc="FD0C65EA">
      <w:start w:val="1"/>
      <w:numFmt w:val="lowerRoman"/>
      <w:lvlText w:val="%9."/>
      <w:lvlJc w:val="right"/>
      <w:pPr>
        <w:ind w:left="6480" w:hanging="180"/>
      </w:pPr>
    </w:lvl>
  </w:abstractNum>
  <w:abstractNum w:abstractNumId="20" w15:restartNumberingAfterBreak="0">
    <w:nsid w:val="38887B6C"/>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95C32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5D41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57B753"/>
    <w:multiLevelType w:val="hybridMultilevel"/>
    <w:tmpl w:val="5F7228D6"/>
    <w:lvl w:ilvl="0" w:tplc="E212604E">
      <w:start w:val="4"/>
      <w:numFmt w:val="decimal"/>
      <w:lvlText w:val="%1."/>
      <w:lvlJc w:val="left"/>
      <w:pPr>
        <w:ind w:left="720" w:hanging="360"/>
      </w:pPr>
    </w:lvl>
    <w:lvl w:ilvl="1" w:tplc="F70C3546">
      <w:start w:val="1"/>
      <w:numFmt w:val="lowerLetter"/>
      <w:lvlText w:val="%2."/>
      <w:lvlJc w:val="left"/>
      <w:pPr>
        <w:ind w:left="1440" w:hanging="360"/>
      </w:pPr>
    </w:lvl>
    <w:lvl w:ilvl="2" w:tplc="099CFA76">
      <w:start w:val="1"/>
      <w:numFmt w:val="lowerRoman"/>
      <w:lvlText w:val="%3."/>
      <w:lvlJc w:val="right"/>
      <w:pPr>
        <w:ind w:left="2160" w:hanging="180"/>
      </w:pPr>
    </w:lvl>
    <w:lvl w:ilvl="3" w:tplc="120A6486">
      <w:start w:val="1"/>
      <w:numFmt w:val="decimal"/>
      <w:lvlText w:val="%4."/>
      <w:lvlJc w:val="left"/>
      <w:pPr>
        <w:ind w:left="2880" w:hanging="360"/>
      </w:pPr>
    </w:lvl>
    <w:lvl w:ilvl="4" w:tplc="CD6E7F90">
      <w:start w:val="1"/>
      <w:numFmt w:val="lowerLetter"/>
      <w:lvlText w:val="%5."/>
      <w:lvlJc w:val="left"/>
      <w:pPr>
        <w:ind w:left="3600" w:hanging="360"/>
      </w:pPr>
    </w:lvl>
    <w:lvl w:ilvl="5" w:tplc="20BA0988">
      <w:start w:val="1"/>
      <w:numFmt w:val="lowerRoman"/>
      <w:lvlText w:val="%6."/>
      <w:lvlJc w:val="right"/>
      <w:pPr>
        <w:ind w:left="4320" w:hanging="180"/>
      </w:pPr>
    </w:lvl>
    <w:lvl w:ilvl="6" w:tplc="2A4E6432">
      <w:start w:val="1"/>
      <w:numFmt w:val="decimal"/>
      <w:lvlText w:val="%7."/>
      <w:lvlJc w:val="left"/>
      <w:pPr>
        <w:ind w:left="5040" w:hanging="360"/>
      </w:pPr>
    </w:lvl>
    <w:lvl w:ilvl="7" w:tplc="62F4A870">
      <w:start w:val="1"/>
      <w:numFmt w:val="lowerLetter"/>
      <w:lvlText w:val="%8."/>
      <w:lvlJc w:val="left"/>
      <w:pPr>
        <w:ind w:left="5760" w:hanging="360"/>
      </w:pPr>
    </w:lvl>
    <w:lvl w:ilvl="8" w:tplc="41F602C2">
      <w:start w:val="1"/>
      <w:numFmt w:val="lowerRoman"/>
      <w:lvlText w:val="%9."/>
      <w:lvlJc w:val="right"/>
      <w:pPr>
        <w:ind w:left="6480" w:hanging="180"/>
      </w:pPr>
    </w:lvl>
  </w:abstractNum>
  <w:abstractNum w:abstractNumId="24" w15:restartNumberingAfterBreak="0">
    <w:nsid w:val="49DF06F0"/>
    <w:multiLevelType w:val="hybridMultilevel"/>
    <w:tmpl w:val="2AB26F04"/>
    <w:lvl w:ilvl="0" w:tplc="48C04588">
      <w:start w:val="1"/>
      <w:numFmt w:val="decimal"/>
      <w:lvlText w:val="%1."/>
      <w:lvlJc w:val="left"/>
      <w:pPr>
        <w:ind w:left="720" w:hanging="360"/>
      </w:pPr>
    </w:lvl>
    <w:lvl w:ilvl="1" w:tplc="EDA8D59C">
      <w:start w:val="1"/>
      <w:numFmt w:val="lowerLetter"/>
      <w:lvlText w:val="%2."/>
      <w:lvlJc w:val="left"/>
      <w:pPr>
        <w:ind w:left="1440" w:hanging="360"/>
      </w:pPr>
    </w:lvl>
    <w:lvl w:ilvl="2" w:tplc="830AAF04">
      <w:start w:val="1"/>
      <w:numFmt w:val="lowerRoman"/>
      <w:lvlText w:val="%3."/>
      <w:lvlJc w:val="right"/>
      <w:pPr>
        <w:ind w:left="2160" w:hanging="180"/>
      </w:pPr>
    </w:lvl>
    <w:lvl w:ilvl="3" w:tplc="C706CD6E">
      <w:start w:val="1"/>
      <w:numFmt w:val="decimal"/>
      <w:lvlText w:val="%4."/>
      <w:lvlJc w:val="left"/>
      <w:pPr>
        <w:ind w:left="2880" w:hanging="360"/>
      </w:pPr>
    </w:lvl>
    <w:lvl w:ilvl="4" w:tplc="A8E273F0">
      <w:start w:val="1"/>
      <w:numFmt w:val="lowerLetter"/>
      <w:lvlText w:val="%5."/>
      <w:lvlJc w:val="left"/>
      <w:pPr>
        <w:ind w:left="3600" w:hanging="360"/>
      </w:pPr>
    </w:lvl>
    <w:lvl w:ilvl="5" w:tplc="363C07C0">
      <w:start w:val="1"/>
      <w:numFmt w:val="lowerRoman"/>
      <w:lvlText w:val="%6."/>
      <w:lvlJc w:val="right"/>
      <w:pPr>
        <w:ind w:left="4320" w:hanging="180"/>
      </w:pPr>
    </w:lvl>
    <w:lvl w:ilvl="6" w:tplc="A588CC8C">
      <w:start w:val="1"/>
      <w:numFmt w:val="decimal"/>
      <w:lvlText w:val="%7."/>
      <w:lvlJc w:val="left"/>
      <w:pPr>
        <w:ind w:left="5040" w:hanging="360"/>
      </w:pPr>
    </w:lvl>
    <w:lvl w:ilvl="7" w:tplc="97A6507E">
      <w:start w:val="1"/>
      <w:numFmt w:val="lowerLetter"/>
      <w:lvlText w:val="%8."/>
      <w:lvlJc w:val="left"/>
      <w:pPr>
        <w:ind w:left="5760" w:hanging="360"/>
      </w:pPr>
    </w:lvl>
    <w:lvl w:ilvl="8" w:tplc="54A4AEDC">
      <w:start w:val="1"/>
      <w:numFmt w:val="lowerRoman"/>
      <w:lvlText w:val="%9."/>
      <w:lvlJc w:val="right"/>
      <w:pPr>
        <w:ind w:left="6480" w:hanging="180"/>
      </w:pPr>
    </w:lvl>
  </w:abstractNum>
  <w:abstractNum w:abstractNumId="25" w15:restartNumberingAfterBreak="0">
    <w:nsid w:val="4B256AD1"/>
    <w:multiLevelType w:val="hybridMultilevel"/>
    <w:tmpl w:val="86CCD58A"/>
    <w:lvl w:ilvl="0" w:tplc="BEF8C858">
      <w:start w:val="1"/>
      <w:numFmt w:val="bullet"/>
      <w:lvlText w:val=""/>
      <w:lvlJc w:val="left"/>
      <w:pPr>
        <w:ind w:left="720" w:hanging="360"/>
      </w:pPr>
      <w:rPr>
        <w:rFonts w:ascii="Symbol" w:hAnsi="Symbol" w:hint="default"/>
      </w:rPr>
    </w:lvl>
    <w:lvl w:ilvl="1" w:tplc="86A01598">
      <w:start w:val="1"/>
      <w:numFmt w:val="bullet"/>
      <w:lvlText w:val="o"/>
      <w:lvlJc w:val="left"/>
      <w:pPr>
        <w:ind w:left="1440" w:hanging="360"/>
      </w:pPr>
      <w:rPr>
        <w:rFonts w:ascii="Courier New" w:hAnsi="Courier New" w:hint="default"/>
      </w:rPr>
    </w:lvl>
    <w:lvl w:ilvl="2" w:tplc="D0D65268">
      <w:start w:val="1"/>
      <w:numFmt w:val="bullet"/>
      <w:lvlText w:val=""/>
      <w:lvlJc w:val="left"/>
      <w:pPr>
        <w:ind w:left="2160" w:hanging="360"/>
      </w:pPr>
      <w:rPr>
        <w:rFonts w:ascii="Wingdings" w:hAnsi="Wingdings" w:hint="default"/>
      </w:rPr>
    </w:lvl>
    <w:lvl w:ilvl="3" w:tplc="B804154A">
      <w:start w:val="1"/>
      <w:numFmt w:val="bullet"/>
      <w:lvlText w:val=""/>
      <w:lvlJc w:val="left"/>
      <w:pPr>
        <w:ind w:left="2880" w:hanging="360"/>
      </w:pPr>
      <w:rPr>
        <w:rFonts w:ascii="Symbol" w:hAnsi="Symbol" w:hint="default"/>
      </w:rPr>
    </w:lvl>
    <w:lvl w:ilvl="4" w:tplc="32B47ED4">
      <w:start w:val="1"/>
      <w:numFmt w:val="bullet"/>
      <w:lvlText w:val="o"/>
      <w:lvlJc w:val="left"/>
      <w:pPr>
        <w:ind w:left="3600" w:hanging="360"/>
      </w:pPr>
      <w:rPr>
        <w:rFonts w:ascii="Courier New" w:hAnsi="Courier New" w:hint="default"/>
      </w:rPr>
    </w:lvl>
    <w:lvl w:ilvl="5" w:tplc="2452AEB4">
      <w:start w:val="1"/>
      <w:numFmt w:val="bullet"/>
      <w:lvlText w:val=""/>
      <w:lvlJc w:val="left"/>
      <w:pPr>
        <w:ind w:left="4320" w:hanging="360"/>
      </w:pPr>
      <w:rPr>
        <w:rFonts w:ascii="Wingdings" w:hAnsi="Wingdings" w:hint="default"/>
      </w:rPr>
    </w:lvl>
    <w:lvl w:ilvl="6" w:tplc="D46CEFB2">
      <w:start w:val="1"/>
      <w:numFmt w:val="bullet"/>
      <w:lvlText w:val=""/>
      <w:lvlJc w:val="left"/>
      <w:pPr>
        <w:ind w:left="5040" w:hanging="360"/>
      </w:pPr>
      <w:rPr>
        <w:rFonts w:ascii="Symbol" w:hAnsi="Symbol" w:hint="default"/>
      </w:rPr>
    </w:lvl>
    <w:lvl w:ilvl="7" w:tplc="06ECCB04">
      <w:start w:val="1"/>
      <w:numFmt w:val="bullet"/>
      <w:lvlText w:val="o"/>
      <w:lvlJc w:val="left"/>
      <w:pPr>
        <w:ind w:left="5760" w:hanging="360"/>
      </w:pPr>
      <w:rPr>
        <w:rFonts w:ascii="Courier New" w:hAnsi="Courier New" w:hint="default"/>
      </w:rPr>
    </w:lvl>
    <w:lvl w:ilvl="8" w:tplc="F9608DBA">
      <w:start w:val="1"/>
      <w:numFmt w:val="bullet"/>
      <w:lvlText w:val=""/>
      <w:lvlJc w:val="left"/>
      <w:pPr>
        <w:ind w:left="6480" w:hanging="360"/>
      </w:pPr>
      <w:rPr>
        <w:rFonts w:ascii="Wingdings" w:hAnsi="Wingdings" w:hint="default"/>
      </w:rPr>
    </w:lvl>
  </w:abstractNum>
  <w:abstractNum w:abstractNumId="26" w15:restartNumberingAfterBreak="0">
    <w:nsid w:val="54A17745"/>
    <w:multiLevelType w:val="multilevel"/>
    <w:tmpl w:val="DC7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7EEE7"/>
    <w:multiLevelType w:val="hybridMultilevel"/>
    <w:tmpl w:val="6DC6CDE4"/>
    <w:lvl w:ilvl="0" w:tplc="3CFE370C">
      <w:start w:val="1"/>
      <w:numFmt w:val="bullet"/>
      <w:lvlText w:val=""/>
      <w:lvlJc w:val="left"/>
      <w:pPr>
        <w:ind w:left="720" w:hanging="360"/>
      </w:pPr>
      <w:rPr>
        <w:rFonts w:ascii="Symbol" w:hAnsi="Symbol" w:hint="default"/>
      </w:rPr>
    </w:lvl>
    <w:lvl w:ilvl="1" w:tplc="3A3C9FEE">
      <w:start w:val="1"/>
      <w:numFmt w:val="bullet"/>
      <w:lvlText w:val="o"/>
      <w:lvlJc w:val="left"/>
      <w:pPr>
        <w:ind w:left="1440" w:hanging="360"/>
      </w:pPr>
      <w:rPr>
        <w:rFonts w:ascii="Courier New" w:hAnsi="Courier New" w:hint="default"/>
      </w:rPr>
    </w:lvl>
    <w:lvl w:ilvl="2" w:tplc="126AB5B8">
      <w:start w:val="1"/>
      <w:numFmt w:val="bullet"/>
      <w:lvlText w:val=""/>
      <w:lvlJc w:val="left"/>
      <w:pPr>
        <w:ind w:left="2160" w:hanging="360"/>
      </w:pPr>
      <w:rPr>
        <w:rFonts w:ascii="Wingdings" w:hAnsi="Wingdings" w:hint="default"/>
      </w:rPr>
    </w:lvl>
    <w:lvl w:ilvl="3" w:tplc="E2F68000">
      <w:start w:val="1"/>
      <w:numFmt w:val="bullet"/>
      <w:lvlText w:val=""/>
      <w:lvlJc w:val="left"/>
      <w:pPr>
        <w:ind w:left="2880" w:hanging="360"/>
      </w:pPr>
      <w:rPr>
        <w:rFonts w:ascii="Symbol" w:hAnsi="Symbol" w:hint="default"/>
      </w:rPr>
    </w:lvl>
    <w:lvl w:ilvl="4" w:tplc="E73EBF7A">
      <w:start w:val="1"/>
      <w:numFmt w:val="bullet"/>
      <w:lvlText w:val="o"/>
      <w:lvlJc w:val="left"/>
      <w:pPr>
        <w:ind w:left="3600" w:hanging="360"/>
      </w:pPr>
      <w:rPr>
        <w:rFonts w:ascii="Courier New" w:hAnsi="Courier New" w:hint="default"/>
      </w:rPr>
    </w:lvl>
    <w:lvl w:ilvl="5" w:tplc="65108042">
      <w:start w:val="1"/>
      <w:numFmt w:val="bullet"/>
      <w:lvlText w:val=""/>
      <w:lvlJc w:val="left"/>
      <w:pPr>
        <w:ind w:left="4320" w:hanging="360"/>
      </w:pPr>
      <w:rPr>
        <w:rFonts w:ascii="Wingdings" w:hAnsi="Wingdings" w:hint="default"/>
      </w:rPr>
    </w:lvl>
    <w:lvl w:ilvl="6" w:tplc="084CA962">
      <w:start w:val="1"/>
      <w:numFmt w:val="bullet"/>
      <w:lvlText w:val=""/>
      <w:lvlJc w:val="left"/>
      <w:pPr>
        <w:ind w:left="5040" w:hanging="360"/>
      </w:pPr>
      <w:rPr>
        <w:rFonts w:ascii="Symbol" w:hAnsi="Symbol" w:hint="default"/>
      </w:rPr>
    </w:lvl>
    <w:lvl w:ilvl="7" w:tplc="A14451FE">
      <w:start w:val="1"/>
      <w:numFmt w:val="bullet"/>
      <w:lvlText w:val="o"/>
      <w:lvlJc w:val="left"/>
      <w:pPr>
        <w:ind w:left="5760" w:hanging="360"/>
      </w:pPr>
      <w:rPr>
        <w:rFonts w:ascii="Courier New" w:hAnsi="Courier New" w:hint="default"/>
      </w:rPr>
    </w:lvl>
    <w:lvl w:ilvl="8" w:tplc="E1DC4B3C">
      <w:start w:val="1"/>
      <w:numFmt w:val="bullet"/>
      <w:lvlText w:val=""/>
      <w:lvlJc w:val="left"/>
      <w:pPr>
        <w:ind w:left="6480" w:hanging="360"/>
      </w:pPr>
      <w:rPr>
        <w:rFonts w:ascii="Wingdings" w:hAnsi="Wingdings" w:hint="default"/>
      </w:rPr>
    </w:lvl>
  </w:abstractNum>
  <w:abstractNum w:abstractNumId="28" w15:restartNumberingAfterBreak="0">
    <w:nsid w:val="5C8930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2E690B"/>
    <w:multiLevelType w:val="hybridMultilevel"/>
    <w:tmpl w:val="6B7E37D6"/>
    <w:lvl w:ilvl="0" w:tplc="79B8EC26">
      <w:start w:val="5"/>
      <w:numFmt w:val="decimal"/>
      <w:lvlText w:val="%1."/>
      <w:lvlJc w:val="left"/>
      <w:pPr>
        <w:ind w:left="720" w:hanging="360"/>
      </w:pPr>
    </w:lvl>
    <w:lvl w:ilvl="1" w:tplc="FE9A0F7E">
      <w:start w:val="1"/>
      <w:numFmt w:val="lowerLetter"/>
      <w:lvlText w:val="%2."/>
      <w:lvlJc w:val="left"/>
      <w:pPr>
        <w:ind w:left="1440" w:hanging="360"/>
      </w:pPr>
    </w:lvl>
    <w:lvl w:ilvl="2" w:tplc="AAD40882">
      <w:start w:val="1"/>
      <w:numFmt w:val="lowerRoman"/>
      <w:lvlText w:val="%3."/>
      <w:lvlJc w:val="right"/>
      <w:pPr>
        <w:ind w:left="2160" w:hanging="180"/>
      </w:pPr>
    </w:lvl>
    <w:lvl w:ilvl="3" w:tplc="B3DEF794">
      <w:start w:val="1"/>
      <w:numFmt w:val="decimal"/>
      <w:lvlText w:val="%4."/>
      <w:lvlJc w:val="left"/>
      <w:pPr>
        <w:ind w:left="2880" w:hanging="360"/>
      </w:pPr>
    </w:lvl>
    <w:lvl w:ilvl="4" w:tplc="7F3A5F3C">
      <w:start w:val="1"/>
      <w:numFmt w:val="lowerLetter"/>
      <w:lvlText w:val="%5."/>
      <w:lvlJc w:val="left"/>
      <w:pPr>
        <w:ind w:left="3600" w:hanging="360"/>
      </w:pPr>
    </w:lvl>
    <w:lvl w:ilvl="5" w:tplc="DF0A4492">
      <w:start w:val="1"/>
      <w:numFmt w:val="lowerRoman"/>
      <w:lvlText w:val="%6."/>
      <w:lvlJc w:val="right"/>
      <w:pPr>
        <w:ind w:left="4320" w:hanging="180"/>
      </w:pPr>
    </w:lvl>
    <w:lvl w:ilvl="6" w:tplc="FF2A8C20">
      <w:start w:val="1"/>
      <w:numFmt w:val="decimal"/>
      <w:lvlText w:val="%7."/>
      <w:lvlJc w:val="left"/>
      <w:pPr>
        <w:ind w:left="5040" w:hanging="360"/>
      </w:pPr>
    </w:lvl>
    <w:lvl w:ilvl="7" w:tplc="20E8EB7E">
      <w:start w:val="1"/>
      <w:numFmt w:val="lowerLetter"/>
      <w:lvlText w:val="%8."/>
      <w:lvlJc w:val="left"/>
      <w:pPr>
        <w:ind w:left="5760" w:hanging="360"/>
      </w:pPr>
    </w:lvl>
    <w:lvl w:ilvl="8" w:tplc="E6746EB2">
      <w:start w:val="1"/>
      <w:numFmt w:val="lowerRoman"/>
      <w:lvlText w:val="%9."/>
      <w:lvlJc w:val="right"/>
      <w:pPr>
        <w:ind w:left="6480" w:hanging="180"/>
      </w:pPr>
    </w:lvl>
  </w:abstractNum>
  <w:abstractNum w:abstractNumId="30" w15:restartNumberingAfterBreak="0">
    <w:nsid w:val="5DEF5E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54536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797D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BD2F54"/>
    <w:multiLevelType w:val="hybridMultilevel"/>
    <w:tmpl w:val="BDF0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2342F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3B5ED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EF973E"/>
    <w:multiLevelType w:val="hybridMultilevel"/>
    <w:tmpl w:val="09685D74"/>
    <w:lvl w:ilvl="0" w:tplc="A6302EE2">
      <w:start w:val="1"/>
      <w:numFmt w:val="bullet"/>
      <w:lvlText w:val=""/>
      <w:lvlJc w:val="left"/>
      <w:pPr>
        <w:ind w:left="720" w:hanging="360"/>
      </w:pPr>
      <w:rPr>
        <w:rFonts w:ascii="Symbol" w:hAnsi="Symbol" w:hint="default"/>
      </w:rPr>
    </w:lvl>
    <w:lvl w:ilvl="1" w:tplc="F830D938">
      <w:start w:val="1"/>
      <w:numFmt w:val="bullet"/>
      <w:lvlText w:val="o"/>
      <w:lvlJc w:val="left"/>
      <w:pPr>
        <w:ind w:left="1440" w:hanging="360"/>
      </w:pPr>
      <w:rPr>
        <w:rFonts w:ascii="Courier New" w:hAnsi="Courier New" w:hint="default"/>
      </w:rPr>
    </w:lvl>
    <w:lvl w:ilvl="2" w:tplc="F69C5E0C">
      <w:start w:val="1"/>
      <w:numFmt w:val="bullet"/>
      <w:lvlText w:val=""/>
      <w:lvlJc w:val="left"/>
      <w:pPr>
        <w:ind w:left="2160" w:hanging="360"/>
      </w:pPr>
      <w:rPr>
        <w:rFonts w:ascii="Wingdings" w:hAnsi="Wingdings" w:hint="default"/>
      </w:rPr>
    </w:lvl>
    <w:lvl w:ilvl="3" w:tplc="65D4F4AA">
      <w:start w:val="1"/>
      <w:numFmt w:val="bullet"/>
      <w:lvlText w:val=""/>
      <w:lvlJc w:val="left"/>
      <w:pPr>
        <w:ind w:left="2880" w:hanging="360"/>
      </w:pPr>
      <w:rPr>
        <w:rFonts w:ascii="Symbol" w:hAnsi="Symbol" w:hint="default"/>
      </w:rPr>
    </w:lvl>
    <w:lvl w:ilvl="4" w:tplc="B6A20826">
      <w:start w:val="1"/>
      <w:numFmt w:val="bullet"/>
      <w:lvlText w:val="o"/>
      <w:lvlJc w:val="left"/>
      <w:pPr>
        <w:ind w:left="3600" w:hanging="360"/>
      </w:pPr>
      <w:rPr>
        <w:rFonts w:ascii="Courier New" w:hAnsi="Courier New" w:hint="default"/>
      </w:rPr>
    </w:lvl>
    <w:lvl w:ilvl="5" w:tplc="DB40C588">
      <w:start w:val="1"/>
      <w:numFmt w:val="bullet"/>
      <w:lvlText w:val=""/>
      <w:lvlJc w:val="left"/>
      <w:pPr>
        <w:ind w:left="4320" w:hanging="360"/>
      </w:pPr>
      <w:rPr>
        <w:rFonts w:ascii="Wingdings" w:hAnsi="Wingdings" w:hint="default"/>
      </w:rPr>
    </w:lvl>
    <w:lvl w:ilvl="6" w:tplc="736C6DC4">
      <w:start w:val="1"/>
      <w:numFmt w:val="bullet"/>
      <w:lvlText w:val=""/>
      <w:lvlJc w:val="left"/>
      <w:pPr>
        <w:ind w:left="5040" w:hanging="360"/>
      </w:pPr>
      <w:rPr>
        <w:rFonts w:ascii="Symbol" w:hAnsi="Symbol" w:hint="default"/>
      </w:rPr>
    </w:lvl>
    <w:lvl w:ilvl="7" w:tplc="80884B78">
      <w:start w:val="1"/>
      <w:numFmt w:val="bullet"/>
      <w:lvlText w:val="o"/>
      <w:lvlJc w:val="left"/>
      <w:pPr>
        <w:ind w:left="5760" w:hanging="360"/>
      </w:pPr>
      <w:rPr>
        <w:rFonts w:ascii="Courier New" w:hAnsi="Courier New" w:hint="default"/>
      </w:rPr>
    </w:lvl>
    <w:lvl w:ilvl="8" w:tplc="9E34A9AC">
      <w:start w:val="1"/>
      <w:numFmt w:val="bullet"/>
      <w:lvlText w:val=""/>
      <w:lvlJc w:val="left"/>
      <w:pPr>
        <w:ind w:left="6480" w:hanging="360"/>
      </w:pPr>
      <w:rPr>
        <w:rFonts w:ascii="Wingdings" w:hAnsi="Wingdings" w:hint="default"/>
      </w:rPr>
    </w:lvl>
  </w:abstractNum>
  <w:abstractNum w:abstractNumId="37" w15:restartNumberingAfterBreak="0">
    <w:nsid w:val="6D2E624F"/>
    <w:multiLevelType w:val="hybridMultilevel"/>
    <w:tmpl w:val="8EF8278C"/>
    <w:lvl w:ilvl="0" w:tplc="B3401A4C">
      <w:start w:val="1"/>
      <w:numFmt w:val="bullet"/>
      <w:lvlText w:val=""/>
      <w:lvlJc w:val="left"/>
      <w:pPr>
        <w:ind w:left="720" w:hanging="360"/>
      </w:pPr>
      <w:rPr>
        <w:rFonts w:ascii="Symbol" w:hAnsi="Symbol" w:hint="default"/>
      </w:rPr>
    </w:lvl>
    <w:lvl w:ilvl="1" w:tplc="57F0235A">
      <w:start w:val="1"/>
      <w:numFmt w:val="bullet"/>
      <w:lvlText w:val="o"/>
      <w:lvlJc w:val="left"/>
      <w:pPr>
        <w:ind w:left="1440" w:hanging="360"/>
      </w:pPr>
      <w:rPr>
        <w:rFonts w:ascii="Courier New" w:hAnsi="Courier New" w:hint="default"/>
      </w:rPr>
    </w:lvl>
    <w:lvl w:ilvl="2" w:tplc="7F20629A">
      <w:start w:val="1"/>
      <w:numFmt w:val="bullet"/>
      <w:lvlText w:val=""/>
      <w:lvlJc w:val="left"/>
      <w:pPr>
        <w:ind w:left="2160" w:hanging="360"/>
      </w:pPr>
      <w:rPr>
        <w:rFonts w:ascii="Wingdings" w:hAnsi="Wingdings" w:hint="default"/>
      </w:rPr>
    </w:lvl>
    <w:lvl w:ilvl="3" w:tplc="4438A9D8">
      <w:start w:val="1"/>
      <w:numFmt w:val="bullet"/>
      <w:lvlText w:val=""/>
      <w:lvlJc w:val="left"/>
      <w:pPr>
        <w:ind w:left="2880" w:hanging="360"/>
      </w:pPr>
      <w:rPr>
        <w:rFonts w:ascii="Symbol" w:hAnsi="Symbol" w:hint="default"/>
      </w:rPr>
    </w:lvl>
    <w:lvl w:ilvl="4" w:tplc="5DA2AB08">
      <w:start w:val="1"/>
      <w:numFmt w:val="bullet"/>
      <w:lvlText w:val="o"/>
      <w:lvlJc w:val="left"/>
      <w:pPr>
        <w:ind w:left="3600" w:hanging="360"/>
      </w:pPr>
      <w:rPr>
        <w:rFonts w:ascii="Courier New" w:hAnsi="Courier New" w:hint="default"/>
      </w:rPr>
    </w:lvl>
    <w:lvl w:ilvl="5" w:tplc="EB0A8E24">
      <w:start w:val="1"/>
      <w:numFmt w:val="bullet"/>
      <w:lvlText w:val=""/>
      <w:lvlJc w:val="left"/>
      <w:pPr>
        <w:ind w:left="4320" w:hanging="360"/>
      </w:pPr>
      <w:rPr>
        <w:rFonts w:ascii="Wingdings" w:hAnsi="Wingdings" w:hint="default"/>
      </w:rPr>
    </w:lvl>
    <w:lvl w:ilvl="6" w:tplc="9DBCBE24">
      <w:start w:val="1"/>
      <w:numFmt w:val="bullet"/>
      <w:lvlText w:val=""/>
      <w:lvlJc w:val="left"/>
      <w:pPr>
        <w:ind w:left="5040" w:hanging="360"/>
      </w:pPr>
      <w:rPr>
        <w:rFonts w:ascii="Symbol" w:hAnsi="Symbol" w:hint="default"/>
      </w:rPr>
    </w:lvl>
    <w:lvl w:ilvl="7" w:tplc="F176DE8C">
      <w:start w:val="1"/>
      <w:numFmt w:val="bullet"/>
      <w:lvlText w:val="o"/>
      <w:lvlJc w:val="left"/>
      <w:pPr>
        <w:ind w:left="5760" w:hanging="360"/>
      </w:pPr>
      <w:rPr>
        <w:rFonts w:ascii="Courier New" w:hAnsi="Courier New" w:hint="default"/>
      </w:rPr>
    </w:lvl>
    <w:lvl w:ilvl="8" w:tplc="51208A18">
      <w:start w:val="1"/>
      <w:numFmt w:val="bullet"/>
      <w:lvlText w:val=""/>
      <w:lvlJc w:val="left"/>
      <w:pPr>
        <w:ind w:left="6480" w:hanging="360"/>
      </w:pPr>
      <w:rPr>
        <w:rFonts w:ascii="Wingdings" w:hAnsi="Wingdings" w:hint="default"/>
      </w:rPr>
    </w:lvl>
  </w:abstractNum>
  <w:abstractNum w:abstractNumId="38" w15:restartNumberingAfterBreak="0">
    <w:nsid w:val="6E368397"/>
    <w:multiLevelType w:val="hybridMultilevel"/>
    <w:tmpl w:val="1C369D76"/>
    <w:lvl w:ilvl="0" w:tplc="2D7EC794">
      <w:start w:val="3"/>
      <w:numFmt w:val="decimal"/>
      <w:lvlText w:val="%1."/>
      <w:lvlJc w:val="left"/>
      <w:pPr>
        <w:ind w:left="720" w:hanging="360"/>
      </w:pPr>
    </w:lvl>
    <w:lvl w:ilvl="1" w:tplc="02D4EEE2">
      <w:start w:val="1"/>
      <w:numFmt w:val="lowerLetter"/>
      <w:lvlText w:val="%2."/>
      <w:lvlJc w:val="left"/>
      <w:pPr>
        <w:ind w:left="1440" w:hanging="360"/>
      </w:pPr>
    </w:lvl>
    <w:lvl w:ilvl="2" w:tplc="ED4AC5D4">
      <w:start w:val="1"/>
      <w:numFmt w:val="lowerRoman"/>
      <w:lvlText w:val="%3."/>
      <w:lvlJc w:val="right"/>
      <w:pPr>
        <w:ind w:left="2160" w:hanging="180"/>
      </w:pPr>
    </w:lvl>
    <w:lvl w:ilvl="3" w:tplc="0ECE4A98">
      <w:start w:val="1"/>
      <w:numFmt w:val="decimal"/>
      <w:lvlText w:val="%4."/>
      <w:lvlJc w:val="left"/>
      <w:pPr>
        <w:ind w:left="2880" w:hanging="360"/>
      </w:pPr>
    </w:lvl>
    <w:lvl w:ilvl="4" w:tplc="3B7461F0">
      <w:start w:val="1"/>
      <w:numFmt w:val="lowerLetter"/>
      <w:lvlText w:val="%5."/>
      <w:lvlJc w:val="left"/>
      <w:pPr>
        <w:ind w:left="3600" w:hanging="360"/>
      </w:pPr>
    </w:lvl>
    <w:lvl w:ilvl="5" w:tplc="89BA23A0">
      <w:start w:val="1"/>
      <w:numFmt w:val="lowerRoman"/>
      <w:lvlText w:val="%6."/>
      <w:lvlJc w:val="right"/>
      <w:pPr>
        <w:ind w:left="4320" w:hanging="180"/>
      </w:pPr>
    </w:lvl>
    <w:lvl w:ilvl="6" w:tplc="25DE2418">
      <w:start w:val="1"/>
      <w:numFmt w:val="decimal"/>
      <w:lvlText w:val="%7."/>
      <w:lvlJc w:val="left"/>
      <w:pPr>
        <w:ind w:left="5040" w:hanging="360"/>
      </w:pPr>
    </w:lvl>
    <w:lvl w:ilvl="7" w:tplc="FAF8BD88">
      <w:start w:val="1"/>
      <w:numFmt w:val="lowerLetter"/>
      <w:lvlText w:val="%8."/>
      <w:lvlJc w:val="left"/>
      <w:pPr>
        <w:ind w:left="5760" w:hanging="360"/>
      </w:pPr>
    </w:lvl>
    <w:lvl w:ilvl="8" w:tplc="9ACAAD30">
      <w:start w:val="1"/>
      <w:numFmt w:val="lowerRoman"/>
      <w:lvlText w:val="%9."/>
      <w:lvlJc w:val="right"/>
      <w:pPr>
        <w:ind w:left="6480" w:hanging="180"/>
      </w:pPr>
    </w:lvl>
  </w:abstractNum>
  <w:abstractNum w:abstractNumId="39" w15:restartNumberingAfterBreak="0">
    <w:nsid w:val="6EC3D7D7"/>
    <w:multiLevelType w:val="hybridMultilevel"/>
    <w:tmpl w:val="3D7A02DC"/>
    <w:lvl w:ilvl="0" w:tplc="F8965D80">
      <w:start w:val="6"/>
      <w:numFmt w:val="decimal"/>
      <w:lvlText w:val="%1."/>
      <w:lvlJc w:val="left"/>
      <w:pPr>
        <w:ind w:left="720" w:hanging="360"/>
      </w:pPr>
    </w:lvl>
    <w:lvl w:ilvl="1" w:tplc="561CE1D0">
      <w:start w:val="1"/>
      <w:numFmt w:val="lowerLetter"/>
      <w:lvlText w:val="%2."/>
      <w:lvlJc w:val="left"/>
      <w:pPr>
        <w:ind w:left="1440" w:hanging="360"/>
      </w:pPr>
    </w:lvl>
    <w:lvl w:ilvl="2" w:tplc="A3F8F19E">
      <w:start w:val="1"/>
      <w:numFmt w:val="lowerRoman"/>
      <w:lvlText w:val="%3."/>
      <w:lvlJc w:val="right"/>
      <w:pPr>
        <w:ind w:left="2160" w:hanging="180"/>
      </w:pPr>
    </w:lvl>
    <w:lvl w:ilvl="3" w:tplc="DD801FFC">
      <w:start w:val="1"/>
      <w:numFmt w:val="decimal"/>
      <w:lvlText w:val="%4."/>
      <w:lvlJc w:val="left"/>
      <w:pPr>
        <w:ind w:left="2880" w:hanging="360"/>
      </w:pPr>
    </w:lvl>
    <w:lvl w:ilvl="4" w:tplc="690A196A">
      <w:start w:val="1"/>
      <w:numFmt w:val="lowerLetter"/>
      <w:lvlText w:val="%5."/>
      <w:lvlJc w:val="left"/>
      <w:pPr>
        <w:ind w:left="3600" w:hanging="360"/>
      </w:pPr>
    </w:lvl>
    <w:lvl w:ilvl="5" w:tplc="81CCD9A6">
      <w:start w:val="1"/>
      <w:numFmt w:val="lowerRoman"/>
      <w:lvlText w:val="%6."/>
      <w:lvlJc w:val="right"/>
      <w:pPr>
        <w:ind w:left="4320" w:hanging="180"/>
      </w:pPr>
    </w:lvl>
    <w:lvl w:ilvl="6" w:tplc="2D348A1A">
      <w:start w:val="1"/>
      <w:numFmt w:val="decimal"/>
      <w:lvlText w:val="%7."/>
      <w:lvlJc w:val="left"/>
      <w:pPr>
        <w:ind w:left="5040" w:hanging="360"/>
      </w:pPr>
    </w:lvl>
    <w:lvl w:ilvl="7" w:tplc="731EB3E4">
      <w:start w:val="1"/>
      <w:numFmt w:val="lowerLetter"/>
      <w:lvlText w:val="%8."/>
      <w:lvlJc w:val="left"/>
      <w:pPr>
        <w:ind w:left="5760" w:hanging="360"/>
      </w:pPr>
    </w:lvl>
    <w:lvl w:ilvl="8" w:tplc="A7A61A50">
      <w:start w:val="1"/>
      <w:numFmt w:val="lowerRoman"/>
      <w:lvlText w:val="%9."/>
      <w:lvlJc w:val="right"/>
      <w:pPr>
        <w:ind w:left="6480" w:hanging="180"/>
      </w:pPr>
    </w:lvl>
  </w:abstractNum>
  <w:abstractNum w:abstractNumId="40" w15:restartNumberingAfterBreak="0">
    <w:nsid w:val="73206A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246C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4536EB1"/>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4DE0DB8"/>
    <w:multiLevelType w:val="hybridMultilevel"/>
    <w:tmpl w:val="AA5E7F54"/>
    <w:lvl w:ilvl="0" w:tplc="289C76F6">
      <w:start w:val="2"/>
      <w:numFmt w:val="decimal"/>
      <w:lvlText w:val="%1."/>
      <w:lvlJc w:val="left"/>
      <w:pPr>
        <w:ind w:left="720" w:hanging="360"/>
      </w:pPr>
    </w:lvl>
    <w:lvl w:ilvl="1" w:tplc="174E5C68">
      <w:start w:val="1"/>
      <w:numFmt w:val="lowerLetter"/>
      <w:lvlText w:val="%2."/>
      <w:lvlJc w:val="left"/>
      <w:pPr>
        <w:ind w:left="1440" w:hanging="360"/>
      </w:pPr>
    </w:lvl>
    <w:lvl w:ilvl="2" w:tplc="724060B2">
      <w:start w:val="1"/>
      <w:numFmt w:val="lowerRoman"/>
      <w:lvlText w:val="%3."/>
      <w:lvlJc w:val="right"/>
      <w:pPr>
        <w:ind w:left="2160" w:hanging="180"/>
      </w:pPr>
    </w:lvl>
    <w:lvl w:ilvl="3" w:tplc="24540CCC">
      <w:start w:val="1"/>
      <w:numFmt w:val="decimal"/>
      <w:lvlText w:val="%4."/>
      <w:lvlJc w:val="left"/>
      <w:pPr>
        <w:ind w:left="2880" w:hanging="360"/>
      </w:pPr>
    </w:lvl>
    <w:lvl w:ilvl="4" w:tplc="55448B60">
      <w:start w:val="1"/>
      <w:numFmt w:val="lowerLetter"/>
      <w:lvlText w:val="%5."/>
      <w:lvlJc w:val="left"/>
      <w:pPr>
        <w:ind w:left="3600" w:hanging="360"/>
      </w:pPr>
    </w:lvl>
    <w:lvl w:ilvl="5" w:tplc="439077A0">
      <w:start w:val="1"/>
      <w:numFmt w:val="lowerRoman"/>
      <w:lvlText w:val="%6."/>
      <w:lvlJc w:val="right"/>
      <w:pPr>
        <w:ind w:left="4320" w:hanging="180"/>
      </w:pPr>
    </w:lvl>
    <w:lvl w:ilvl="6" w:tplc="BF444F36">
      <w:start w:val="1"/>
      <w:numFmt w:val="decimal"/>
      <w:lvlText w:val="%7."/>
      <w:lvlJc w:val="left"/>
      <w:pPr>
        <w:ind w:left="5040" w:hanging="360"/>
      </w:pPr>
    </w:lvl>
    <w:lvl w:ilvl="7" w:tplc="2D3A7150">
      <w:start w:val="1"/>
      <w:numFmt w:val="lowerLetter"/>
      <w:lvlText w:val="%8."/>
      <w:lvlJc w:val="left"/>
      <w:pPr>
        <w:ind w:left="5760" w:hanging="360"/>
      </w:pPr>
    </w:lvl>
    <w:lvl w:ilvl="8" w:tplc="7AA0B506">
      <w:start w:val="1"/>
      <w:numFmt w:val="lowerRoman"/>
      <w:lvlText w:val="%9."/>
      <w:lvlJc w:val="right"/>
      <w:pPr>
        <w:ind w:left="6480" w:hanging="180"/>
      </w:pPr>
    </w:lvl>
  </w:abstractNum>
  <w:abstractNum w:abstractNumId="44" w15:restartNumberingAfterBreak="0">
    <w:nsid w:val="761983CF"/>
    <w:multiLevelType w:val="hybridMultilevel"/>
    <w:tmpl w:val="EF46192A"/>
    <w:lvl w:ilvl="0" w:tplc="D55CB610">
      <w:start w:val="1"/>
      <w:numFmt w:val="decimal"/>
      <w:lvlText w:val="%1."/>
      <w:lvlJc w:val="left"/>
      <w:pPr>
        <w:ind w:left="720" w:hanging="360"/>
      </w:pPr>
    </w:lvl>
    <w:lvl w:ilvl="1" w:tplc="1AC2C50C">
      <w:start w:val="1"/>
      <w:numFmt w:val="lowerLetter"/>
      <w:lvlText w:val="%2."/>
      <w:lvlJc w:val="left"/>
      <w:pPr>
        <w:ind w:left="1440" w:hanging="360"/>
      </w:pPr>
    </w:lvl>
    <w:lvl w:ilvl="2" w:tplc="15104F38">
      <w:start w:val="1"/>
      <w:numFmt w:val="lowerRoman"/>
      <w:lvlText w:val="%3."/>
      <w:lvlJc w:val="right"/>
      <w:pPr>
        <w:ind w:left="2160" w:hanging="180"/>
      </w:pPr>
    </w:lvl>
    <w:lvl w:ilvl="3" w:tplc="A6CC4D82">
      <w:start w:val="1"/>
      <w:numFmt w:val="decimal"/>
      <w:lvlText w:val="%4."/>
      <w:lvlJc w:val="left"/>
      <w:pPr>
        <w:ind w:left="2880" w:hanging="360"/>
      </w:pPr>
    </w:lvl>
    <w:lvl w:ilvl="4" w:tplc="C9D0C18C">
      <w:start w:val="1"/>
      <w:numFmt w:val="lowerLetter"/>
      <w:lvlText w:val="%5."/>
      <w:lvlJc w:val="left"/>
      <w:pPr>
        <w:ind w:left="3600" w:hanging="360"/>
      </w:pPr>
    </w:lvl>
    <w:lvl w:ilvl="5" w:tplc="8BE2FA18">
      <w:start w:val="1"/>
      <w:numFmt w:val="lowerRoman"/>
      <w:lvlText w:val="%6."/>
      <w:lvlJc w:val="right"/>
      <w:pPr>
        <w:ind w:left="4320" w:hanging="180"/>
      </w:pPr>
    </w:lvl>
    <w:lvl w:ilvl="6" w:tplc="2BA0F61E">
      <w:start w:val="1"/>
      <w:numFmt w:val="decimal"/>
      <w:lvlText w:val="%7."/>
      <w:lvlJc w:val="left"/>
      <w:pPr>
        <w:ind w:left="5040" w:hanging="360"/>
      </w:pPr>
    </w:lvl>
    <w:lvl w:ilvl="7" w:tplc="847E5CD0">
      <w:start w:val="1"/>
      <w:numFmt w:val="lowerLetter"/>
      <w:lvlText w:val="%8."/>
      <w:lvlJc w:val="left"/>
      <w:pPr>
        <w:ind w:left="5760" w:hanging="360"/>
      </w:pPr>
    </w:lvl>
    <w:lvl w:ilvl="8" w:tplc="11762728">
      <w:start w:val="1"/>
      <w:numFmt w:val="lowerRoman"/>
      <w:lvlText w:val="%9."/>
      <w:lvlJc w:val="right"/>
      <w:pPr>
        <w:ind w:left="6480" w:hanging="180"/>
      </w:pPr>
    </w:lvl>
  </w:abstractNum>
  <w:abstractNum w:abstractNumId="45" w15:restartNumberingAfterBreak="0">
    <w:nsid w:val="793458C8"/>
    <w:multiLevelType w:val="hybridMultilevel"/>
    <w:tmpl w:val="CFCA252C"/>
    <w:lvl w:ilvl="0" w:tplc="6F466332">
      <w:start w:val="6"/>
      <w:numFmt w:val="decimal"/>
      <w:lvlText w:val="%1."/>
      <w:lvlJc w:val="left"/>
      <w:pPr>
        <w:ind w:left="720" w:hanging="360"/>
      </w:pPr>
    </w:lvl>
    <w:lvl w:ilvl="1" w:tplc="086A12CA">
      <w:start w:val="1"/>
      <w:numFmt w:val="lowerLetter"/>
      <w:lvlText w:val="%2."/>
      <w:lvlJc w:val="left"/>
      <w:pPr>
        <w:ind w:left="1440" w:hanging="360"/>
      </w:pPr>
    </w:lvl>
    <w:lvl w:ilvl="2" w:tplc="2EA8562A">
      <w:start w:val="1"/>
      <w:numFmt w:val="lowerRoman"/>
      <w:lvlText w:val="%3."/>
      <w:lvlJc w:val="right"/>
      <w:pPr>
        <w:ind w:left="2160" w:hanging="180"/>
      </w:pPr>
    </w:lvl>
    <w:lvl w:ilvl="3" w:tplc="DBB444BA">
      <w:start w:val="1"/>
      <w:numFmt w:val="decimal"/>
      <w:lvlText w:val="%4."/>
      <w:lvlJc w:val="left"/>
      <w:pPr>
        <w:ind w:left="2880" w:hanging="360"/>
      </w:pPr>
    </w:lvl>
    <w:lvl w:ilvl="4" w:tplc="F468EAA4">
      <w:start w:val="1"/>
      <w:numFmt w:val="lowerLetter"/>
      <w:lvlText w:val="%5."/>
      <w:lvlJc w:val="left"/>
      <w:pPr>
        <w:ind w:left="3600" w:hanging="360"/>
      </w:pPr>
    </w:lvl>
    <w:lvl w:ilvl="5" w:tplc="24702066">
      <w:start w:val="1"/>
      <w:numFmt w:val="lowerRoman"/>
      <w:lvlText w:val="%6."/>
      <w:lvlJc w:val="right"/>
      <w:pPr>
        <w:ind w:left="4320" w:hanging="180"/>
      </w:pPr>
    </w:lvl>
    <w:lvl w:ilvl="6" w:tplc="343094DE">
      <w:start w:val="1"/>
      <w:numFmt w:val="decimal"/>
      <w:lvlText w:val="%7."/>
      <w:lvlJc w:val="left"/>
      <w:pPr>
        <w:ind w:left="5040" w:hanging="360"/>
      </w:pPr>
    </w:lvl>
    <w:lvl w:ilvl="7" w:tplc="7520F1C6">
      <w:start w:val="1"/>
      <w:numFmt w:val="lowerLetter"/>
      <w:lvlText w:val="%8."/>
      <w:lvlJc w:val="left"/>
      <w:pPr>
        <w:ind w:left="5760" w:hanging="360"/>
      </w:pPr>
    </w:lvl>
    <w:lvl w:ilvl="8" w:tplc="C0867C7C">
      <w:start w:val="1"/>
      <w:numFmt w:val="lowerRoman"/>
      <w:lvlText w:val="%9."/>
      <w:lvlJc w:val="right"/>
      <w:pPr>
        <w:ind w:left="6480" w:hanging="180"/>
      </w:pPr>
    </w:lvl>
  </w:abstractNum>
  <w:abstractNum w:abstractNumId="46" w15:restartNumberingAfterBreak="0">
    <w:nsid w:val="79A62C26"/>
    <w:multiLevelType w:val="hybridMultilevel"/>
    <w:tmpl w:val="F37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437182">
    <w:abstractNumId w:val="25"/>
  </w:num>
  <w:num w:numId="2" w16cid:durableId="218366547">
    <w:abstractNumId w:val="45"/>
  </w:num>
  <w:num w:numId="3" w16cid:durableId="1034303866">
    <w:abstractNumId w:val="36"/>
  </w:num>
  <w:num w:numId="4" w16cid:durableId="1155299171">
    <w:abstractNumId w:val="19"/>
  </w:num>
  <w:num w:numId="5" w16cid:durableId="1830248077">
    <w:abstractNumId w:val="8"/>
  </w:num>
  <w:num w:numId="6" w16cid:durableId="1028025726">
    <w:abstractNumId w:val="3"/>
  </w:num>
  <w:num w:numId="7" w16cid:durableId="892154425">
    <w:abstractNumId w:val="6"/>
  </w:num>
  <w:num w:numId="8" w16cid:durableId="1289120088">
    <w:abstractNumId w:val="43"/>
  </w:num>
  <w:num w:numId="9" w16cid:durableId="1022634284">
    <w:abstractNumId w:val="44"/>
  </w:num>
  <w:num w:numId="10" w16cid:durableId="30156658">
    <w:abstractNumId w:val="39"/>
  </w:num>
  <w:num w:numId="11" w16cid:durableId="1420983951">
    <w:abstractNumId w:val="17"/>
  </w:num>
  <w:num w:numId="12" w16cid:durableId="729958030">
    <w:abstractNumId w:val="29"/>
  </w:num>
  <w:num w:numId="13" w16cid:durableId="982346100">
    <w:abstractNumId w:val="23"/>
  </w:num>
  <w:num w:numId="14" w16cid:durableId="428769219">
    <w:abstractNumId w:val="7"/>
  </w:num>
  <w:num w:numId="15" w16cid:durableId="141428611">
    <w:abstractNumId w:val="38"/>
  </w:num>
  <w:num w:numId="16" w16cid:durableId="723261349">
    <w:abstractNumId w:val="18"/>
  </w:num>
  <w:num w:numId="17" w16cid:durableId="1610427641">
    <w:abstractNumId w:val="13"/>
  </w:num>
  <w:num w:numId="18" w16cid:durableId="135222044">
    <w:abstractNumId w:val="15"/>
  </w:num>
  <w:num w:numId="19" w16cid:durableId="41830825">
    <w:abstractNumId w:val="37"/>
  </w:num>
  <w:num w:numId="20" w16cid:durableId="87581286">
    <w:abstractNumId w:val="24"/>
  </w:num>
  <w:num w:numId="21" w16cid:durableId="903297566">
    <w:abstractNumId w:val="27"/>
  </w:num>
  <w:num w:numId="22" w16cid:durableId="1710910988">
    <w:abstractNumId w:val="21"/>
  </w:num>
  <w:num w:numId="23" w16cid:durableId="1235121535">
    <w:abstractNumId w:val="32"/>
  </w:num>
  <w:num w:numId="24" w16cid:durableId="288829052">
    <w:abstractNumId w:val="1"/>
  </w:num>
  <w:num w:numId="25" w16cid:durableId="607540628">
    <w:abstractNumId w:val="42"/>
  </w:num>
  <w:num w:numId="26" w16cid:durableId="1645427509">
    <w:abstractNumId w:val="10"/>
  </w:num>
  <w:num w:numId="27" w16cid:durableId="1945066167">
    <w:abstractNumId w:val="14"/>
  </w:num>
  <w:num w:numId="28" w16cid:durableId="574556956">
    <w:abstractNumId w:val="34"/>
  </w:num>
  <w:num w:numId="29" w16cid:durableId="2133278417">
    <w:abstractNumId w:val="12"/>
  </w:num>
  <w:num w:numId="30" w16cid:durableId="132524787">
    <w:abstractNumId w:val="35"/>
  </w:num>
  <w:num w:numId="31" w16cid:durableId="2130778025">
    <w:abstractNumId w:val="11"/>
  </w:num>
  <w:num w:numId="32" w16cid:durableId="1778061398">
    <w:abstractNumId w:val="28"/>
  </w:num>
  <w:num w:numId="33" w16cid:durableId="409277550">
    <w:abstractNumId w:val="9"/>
  </w:num>
  <w:num w:numId="34" w16cid:durableId="385374049">
    <w:abstractNumId w:val="22"/>
  </w:num>
  <w:num w:numId="35" w16cid:durableId="107437535">
    <w:abstractNumId w:val="31"/>
  </w:num>
  <w:num w:numId="36" w16cid:durableId="1140079625">
    <w:abstractNumId w:val="41"/>
  </w:num>
  <w:num w:numId="37" w16cid:durableId="2099401623">
    <w:abstractNumId w:val="2"/>
  </w:num>
  <w:num w:numId="38" w16cid:durableId="536968867">
    <w:abstractNumId w:val="40"/>
  </w:num>
  <w:num w:numId="39" w16cid:durableId="892233768">
    <w:abstractNumId w:val="30"/>
  </w:num>
  <w:num w:numId="40" w16cid:durableId="1865898698">
    <w:abstractNumId w:val="20"/>
  </w:num>
  <w:num w:numId="41" w16cid:durableId="99496916">
    <w:abstractNumId w:val="26"/>
  </w:num>
  <w:num w:numId="42" w16cid:durableId="1918516728">
    <w:abstractNumId w:val="4"/>
  </w:num>
  <w:num w:numId="43" w16cid:durableId="2014994076">
    <w:abstractNumId w:val="0"/>
  </w:num>
  <w:num w:numId="44" w16cid:durableId="2013793695">
    <w:abstractNumId w:val="16"/>
  </w:num>
  <w:num w:numId="45" w16cid:durableId="275530936">
    <w:abstractNumId w:val="5"/>
  </w:num>
  <w:num w:numId="46" w16cid:durableId="379212391">
    <w:abstractNumId w:val="46"/>
  </w:num>
  <w:num w:numId="47" w16cid:durableId="19412558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2EA2"/>
  <w15:docId w15:val="{AEFA93C3-E558-5D48-A5C1-8B06FDB5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ja-JP"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left"/>
      <w:outlineLvl w:val="0"/>
    </w:pPr>
    <w:rPr>
      <w:b/>
      <w:smallCaps/>
      <w:color w:val="000000"/>
    </w:rPr>
  </w:style>
  <w:style w:type="paragraph" w:styleId="Heading2">
    <w:name w:val="heading 2"/>
    <w:basedOn w:val="Normal"/>
    <w:next w:val="Normal"/>
    <w:uiPriority w:val="9"/>
    <w:unhideWhenUsed/>
    <w:qFormat/>
    <w:pPr>
      <w:keepNext/>
      <w:keepLines/>
      <w:outlineLvl w:val="1"/>
    </w:pPr>
    <w:rPr>
      <w:b/>
      <w:color w:val="000000"/>
    </w:rPr>
  </w:style>
  <w:style w:type="paragraph" w:styleId="Heading3">
    <w:name w:val="heading 3"/>
    <w:basedOn w:val="Normal"/>
    <w:next w:val="Normal"/>
    <w:uiPriority w:val="9"/>
    <w:unhideWhenUsed/>
    <w:qFormat/>
    <w:pPr>
      <w:keepNext/>
      <w:keepLines/>
      <w:spacing w:before="40"/>
      <w:outlineLvl w:val="2"/>
    </w:pPr>
    <w:rPr>
      <w:b/>
      <w:color w:val="000000"/>
    </w:rPr>
  </w:style>
  <w:style w:type="paragraph" w:styleId="Heading4">
    <w:name w:val="heading 4"/>
    <w:basedOn w:val="Normal"/>
    <w:next w:val="Normal"/>
    <w:uiPriority w:val="9"/>
    <w:unhideWhenUsed/>
    <w:qFormat/>
    <w:pPr>
      <w:keepNext/>
      <w:keepLines/>
      <w:spacing w:before="40"/>
      <w:outlineLvl w:val="3"/>
    </w:pPr>
    <w:rPr>
      <w:b/>
      <w:color w:val="00000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rPr>
      <w:b/>
      <w:color w:val="00000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FootnoteText">
    <w:name w:val="footnote text"/>
    <w:basedOn w:val="Normal"/>
    <w:uiPriority w:val="99"/>
    <w:semiHidden/>
    <w:unhideWhenUsed/>
    <w:rsid w:val="197A22EF"/>
    <w:pPr>
      <w:spacing w:after="0" w:line="240" w:lineRule="auto"/>
    </w:pPr>
    <w:rPr>
      <w:sz w:val="20"/>
      <w:szCs w:val="20"/>
    </w:rPr>
  </w:style>
  <w:style w:type="paragraph" w:styleId="EndnoteText">
    <w:name w:val="endnote text"/>
    <w:basedOn w:val="Normal"/>
    <w:uiPriority w:val="99"/>
    <w:semiHidden/>
    <w:unhideWhenUsed/>
    <w:rsid w:val="197A22EF"/>
    <w:pPr>
      <w:spacing w:after="0" w:line="240" w:lineRule="auto"/>
    </w:pPr>
    <w:rPr>
      <w:sz w:val="20"/>
      <w:szCs w:val="20"/>
    </w:r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paragraph" w:styleId="TOC3">
    <w:name w:val="toc 3"/>
    <w:basedOn w:val="Normal"/>
    <w:next w:val="Normal"/>
    <w:autoRedefine/>
    <w:uiPriority w:val="39"/>
    <w:unhideWhenUsed/>
    <w:pPr>
      <w:spacing w:after="100"/>
      <w:ind w:left="440"/>
    </w:pPr>
  </w:style>
  <w:style w:type="paragraph" w:styleId="TOC2">
    <w:name w:val="toc 2"/>
    <w:basedOn w:val="Normal"/>
    <w:next w:val="Normal"/>
    <w:autoRedefine/>
    <w:uiPriority w:val="39"/>
    <w:unhideWhenUsed/>
    <w:pPr>
      <w:spacing w:after="100"/>
      <w:ind w:left="220"/>
    </w:pPr>
  </w:style>
  <w:style w:type="character" w:styleId="EndnoteReference">
    <w:name w:val="endnote reference"/>
    <w:basedOn w:val="DefaultParagraphFont"/>
    <w:uiPriority w:val="99"/>
    <w:semiHidden/>
    <w:unhideWhenUsed/>
    <w:rPr>
      <w:vertAlign w:val="superscript"/>
    </w:rPr>
  </w:style>
  <w:style w:type="paragraph" w:styleId="Caption">
    <w:name w:val="caption"/>
    <w:basedOn w:val="Normal"/>
    <w:next w:val="Normal"/>
    <w:uiPriority w:val="35"/>
    <w:semiHidden/>
    <w:unhideWhenUsed/>
    <w:qFormat/>
    <w:rsid w:val="00E315A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C20479"/>
    <w:pPr>
      <w:spacing w:after="0"/>
    </w:pPr>
  </w:style>
  <w:style w:type="character" w:customStyle="1" w:styleId="selected">
    <w:name w:val="selected"/>
    <w:basedOn w:val="DefaultParagraphFont"/>
    <w:rsid w:val="00371413"/>
  </w:style>
  <w:style w:type="paragraph" w:styleId="NormalWeb">
    <w:name w:val="Normal (Web)"/>
    <w:basedOn w:val="Normal"/>
    <w:uiPriority w:val="99"/>
    <w:semiHidden/>
    <w:unhideWhenUsed/>
    <w:rsid w:val="00371413"/>
    <w:pPr>
      <w:spacing w:before="100" w:beforeAutospacing="1" w:after="100" w:afterAutospacing="1" w:line="240" w:lineRule="auto"/>
      <w:jc w:val="left"/>
    </w:pPr>
    <w:rPr>
      <w:rFonts w:ascii="Times New Roman" w:eastAsia="Times New Roman" w:hAnsi="Times New Roman" w:cs="Times New Roman"/>
      <w:lang w:eastAsia="en-US"/>
    </w:rPr>
  </w:style>
  <w:style w:type="paragraph" w:styleId="ListParagraph">
    <w:name w:val="List Paragraph"/>
    <w:basedOn w:val="Normal"/>
    <w:uiPriority w:val="34"/>
    <w:qFormat/>
    <w:rsid w:val="0037141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26277"/>
    <w:rPr>
      <w:b/>
      <w:bCs/>
    </w:rPr>
  </w:style>
  <w:style w:type="character" w:customStyle="1" w:styleId="CommentSubjectChar">
    <w:name w:val="Comment Subject Char"/>
    <w:basedOn w:val="CommentTextChar"/>
    <w:link w:val="CommentSubject"/>
    <w:uiPriority w:val="99"/>
    <w:semiHidden/>
    <w:rsid w:val="00D26277"/>
    <w:rPr>
      <w:b/>
      <w:bCs/>
      <w:sz w:val="20"/>
      <w:szCs w:val="20"/>
    </w:rPr>
  </w:style>
  <w:style w:type="character" w:styleId="Mention">
    <w:name w:val="Mention"/>
    <w:basedOn w:val="DefaultParagraphFont"/>
    <w:uiPriority w:val="99"/>
    <w:unhideWhenUsed/>
    <w:rsid w:val="00D2627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9F360-33B1-1B46-85B0-0EC9B42A6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HAROLD GOMEZ VALENCIA</cp:lastModifiedBy>
  <cp:revision>3</cp:revision>
  <dcterms:created xsi:type="dcterms:W3CDTF">2025-08-02T20:21:00Z</dcterms:created>
  <dcterms:modified xsi:type="dcterms:W3CDTF">2025-08-02T20:25:00Z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0x01010076540D65708C1543BE478D1D50DF22D7</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MSIP_Label_9f4e9a4a-eb20-4aad-9a64-8872817c1a6f_ActionId">
    <vt:lpwstr>533c11b7-ae63-42bd-9865-23fb6411909d</vt:lpwstr>
  </property>
  <property fmtid="{D5CDD505-2E9C-101B-9397-08002B2CF9AE}" pid="8" name="MSIP_Label_9f4e9a4a-eb20-4aad-9a64-8872817c1a6f_ContentBits">
    <vt:lpwstr>0</vt:lpwstr>
  </property>
  <property fmtid="{D5CDD505-2E9C-101B-9397-08002B2CF9AE}" pid="9" name="MSIP_Label_9f4e9a4a-eb20-4aad-9a64-8872817c1a6f_Enabled">
    <vt:lpwstr>true</vt:lpwstr>
  </property>
  <property fmtid="{D5CDD505-2E9C-101B-9397-08002B2CF9AE}" pid="10" name="MSIP_Label_9f4e9a4a-eb20-4aad-9a64-8872817c1a6f_Method">
    <vt:lpwstr>Standard</vt:lpwstr>
  </property>
  <property fmtid="{D5CDD505-2E9C-101B-9397-08002B2CF9AE}" pid="11" name="MSIP_Label_9f4e9a4a-eb20-4aad-9a64-8872817c1a6f_Name">
    <vt:lpwstr>defa4170-0d19-0005-0004-bc88714345d2</vt:lpwstr>
  </property>
  <property fmtid="{D5CDD505-2E9C-101B-9397-08002B2CF9AE}" pid="12" name="MSIP_Label_9f4e9a4a-eb20-4aad-9a64-8872817c1a6f_SetDate">
    <vt:lpwstr>2023-01-25T11:31:09Z</vt:lpwstr>
  </property>
  <property fmtid="{D5CDD505-2E9C-101B-9397-08002B2CF9AE}" pid="13" name="MSIP_Label_9f4e9a4a-eb20-4aad-9a64-8872817c1a6f_SiteId">
    <vt:lpwstr>7a599002-001c-432c-846e-1ddca9f6b299</vt:lpwstr>
  </property>
  <property fmtid="{D5CDD505-2E9C-101B-9397-08002B2CF9AE}" pid="14" name="ScaleCrop">
    <vt:lpwstr>false</vt:lpwstr>
  </property>
  <property fmtid="{D5CDD505-2E9C-101B-9397-08002B2CF9AE}" pid="15" name="ShareDoc">
    <vt:lpwstr>false</vt:lpwstr>
  </property>
</Properties>
</file>