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X8c5822249302dd3133d3df606a5b5085491d12b"/>
    <w:p>
      <w:pPr>
        <w:pStyle w:val="Heading1"/>
      </w:pPr>
      <w:r>
        <w:rPr>
          <w:rStyle w:val="SectionNumber"/>
        </w:rPr>
        <w:t xml:space="preserve">6</w:t>
      </w:r>
      <w:r>
        <w:tab/>
      </w:r>
      <w:r>
        <w:t xml:space="preserve">CAPÍTULO IV: ANÁLISIS EXPLORATORIO DE DATOS (EDA)</w:t>
      </w:r>
    </w:p>
    <w:bookmarkStart w:id="158" w:name="introducción-2"/>
    <w:p>
      <w:pPr>
        <w:pStyle w:val="Heading2"/>
      </w:pPr>
      <w:r>
        <w:rPr>
          <w:rStyle w:val="SectionNumber"/>
        </w:rPr>
        <w:t xml:space="preserve">6.1</w:t>
      </w:r>
      <w:r>
        <w:tab/>
      </w:r>
      <w:r>
        <w:t xml:space="preserve">Introducción</w:t>
      </w:r>
    </w:p>
    <w:p>
      <w:pPr>
        <w:pStyle w:val="FirstParagraph"/>
      </w:pPr>
      <w:r>
        <w:t xml:space="preserve">Este capítulo presenta un análisis exploratorio comprehensivo del corpus de documentación técnica de Microsoft Azure y el dataset de preguntas de Microsoft Q&amp;A utilizado en esta investigación. El análisis se basa en datos reales extraídos y procesados durante julio-agosto de 2025, proporcionando una caracterización detallada del dominio de trabajo y fundamentando las decisiones metodológicas posteriores.</w:t>
      </w:r>
    </w:p>
    <w:p>
      <w:pPr>
        <w:pStyle w:val="BodyText"/>
      </w:pPr>
      <w:r>
        <w:t xml:space="preserve">El corpus analizado comprende 62,417 documentos únicos de Microsoft Learn segmentados en 187,031 chunks, junto con 13,436 preguntas de Microsoft Q&amp;A. Todos los análisis presentados utilizan datos verificables y reproducibles, con scripts de análisis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1. Características del Corpus de Documentos</w:t>
      </w:r>
    </w:p>
    <w:bookmarkStart w:id="159" w:name="composición-general-del-corpus"/>
    <w:p>
      <w:pPr>
        <w:pStyle w:val="Heading3"/>
      </w:pPr>
      <w:r>
        <w:rPr>
          <w:rStyle w:val="SectionNumber"/>
        </w:rPr>
        <w:t xml:space="preserve">6.2.1</w:t>
      </w:r>
      <w:r>
        <w:tab/>
      </w:r>
      <w:r>
        <w:t xml:space="preserve">1.1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1.2 Análisis de Longitud de Documentos</w:t>
      </w:r>
    </w:p>
    <w:bookmarkStart w:id="160" w:name="estadísticas-de-chunks"/>
    <w:p>
      <w:pPr>
        <w:pStyle w:val="Heading4"/>
      </w:pPr>
      <w:r>
        <w:rPr>
          <w:rStyle w:val="SectionNumber"/>
        </w:rPr>
        <w:t xml:space="preserve">6.2.2.1</w:t>
      </w:r>
      <w:r>
        <w:tab/>
      </w:r>
      <w:r>
        <w:t xml:space="preserve">1.2.1 Estadísticas de Chunks</w:t>
      </w:r>
    </w:p>
    <w:p>
      <w:pPr>
        <w:pStyle w:val="FirstParagraph"/>
      </w:pPr>
      <w:r>
        <w:t xml:space="preserve">Basándose en el análisis de 10,000 chunks representativos utilizando tiktoken (cl100k_base),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872.3</w:t>
            </w:r>
          </w:p>
        </w:tc>
        <w:tc>
          <w:tcPr/>
          <w:p>
            <w:pPr>
              <w:pStyle w:val="Compact"/>
            </w:pPr>
            <w:r>
              <w:t xml:space="preserve">Chunks sustanciales con contenido rico</w:t>
            </w:r>
          </w:p>
        </w:tc>
      </w:tr>
      <w:tr>
        <w:tc>
          <w:tcPr/>
          <w:p>
            <w:pPr>
              <w:pStyle w:val="Compact"/>
            </w:pPr>
            <w:r>
              <w:rPr>
                <w:b/>
                <w:bCs/>
              </w:rPr>
              <w:t xml:space="preserve">Mediana</w:t>
            </w:r>
          </w:p>
        </w:tc>
        <w:tc>
          <w:tcPr/>
          <w:p>
            <w:pPr>
              <w:pStyle w:val="Compact"/>
            </w:pPr>
            <w:r>
              <w:t xml:space="preserve">968.0</w:t>
            </w:r>
          </w:p>
        </w:tc>
        <w:tc>
          <w:tcPr/>
          <w:p>
            <w:pPr>
              <w:pStyle w:val="Compact"/>
            </w:pPr>
            <w:r>
              <w:t xml:space="preserve">Distribución sesgada hacia chunks largos</w:t>
            </w:r>
          </w:p>
        </w:tc>
      </w:tr>
      <w:tr>
        <w:tc>
          <w:tcPr/>
          <w:p>
            <w:pPr>
              <w:pStyle w:val="Compact"/>
            </w:pPr>
            <w:r>
              <w:rPr>
                <w:b/>
                <w:bCs/>
              </w:rPr>
              <w:t xml:space="preserve">Desviación Estándar</w:t>
            </w:r>
          </w:p>
        </w:tc>
        <w:tc>
          <w:tcPr/>
          <w:p>
            <w:pPr>
              <w:pStyle w:val="Compact"/>
            </w:pPr>
            <w:r>
              <w:t xml:space="preserve">346.3</w:t>
            </w:r>
          </w:p>
        </w:tc>
        <w:tc>
          <w:tcPr/>
          <w:p>
            <w:pPr>
              <w:pStyle w:val="Compact"/>
            </w:pPr>
            <w:r>
              <w:t xml:space="preserve">Variabilidad moderada en longitudes</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etc.)</w:t>
            </w:r>
          </w:p>
        </w:tc>
      </w:tr>
      <w:tr>
        <w:tc>
          <w:tcPr/>
          <w:p>
            <w:pPr>
              <w:pStyle w:val="Compact"/>
            </w:pPr>
            <w:r>
              <w:rPr>
                <w:b/>
                <w:bCs/>
              </w:rPr>
              <w:t xml:space="preserve">Máximo</w:t>
            </w:r>
          </w:p>
        </w:tc>
        <w:tc>
          <w:tcPr/>
          <w:p>
            <w:pPr>
              <w:pStyle w:val="Compact"/>
            </w:pPr>
            <w:r>
              <w:t xml:space="preserve">3,366</w:t>
            </w:r>
          </w:p>
        </w:tc>
        <w:tc>
          <w:tcPr/>
          <w:p>
            <w:pPr>
              <w:pStyle w:val="Compact"/>
            </w:pPr>
            <w:r>
              <w:t xml:space="preserve">Chunks de documentos técnicos complejos</w:t>
            </w:r>
          </w:p>
        </w:tc>
      </w:tr>
      <w:tr>
        <w:tc>
          <w:tcPr/>
          <w:p>
            <w:pPr>
              <w:pStyle w:val="Compact"/>
            </w:pPr>
            <w:r>
              <w:rPr>
                <w:b/>
                <w:bCs/>
              </w:rPr>
              <w:t xml:space="preserve">Q25</w:t>
            </w:r>
          </w:p>
        </w:tc>
        <w:tc>
          <w:tcPr/>
          <w:p>
            <w:pPr>
              <w:pStyle w:val="Compact"/>
            </w:pPr>
            <w:r>
              <w:t xml:space="preserve">755.5</w:t>
            </w:r>
          </w:p>
        </w:tc>
        <w:tc>
          <w:tcPr/>
          <w:p>
            <w:pPr>
              <w:pStyle w:val="Compact"/>
            </w:pPr>
            <w:r>
              <w:t xml:space="preserve">25% de chunks son relativamente cortos</w:t>
            </w:r>
          </w:p>
        </w:tc>
      </w:tr>
      <w:tr>
        <w:tc>
          <w:tcPr/>
          <w:p>
            <w:pPr>
              <w:pStyle w:val="Compact"/>
            </w:pPr>
            <w:r>
              <w:rPr>
                <w:b/>
                <w:bCs/>
              </w:rPr>
              <w:t xml:space="preserve">Q75</w:t>
            </w:r>
          </w:p>
        </w:tc>
        <w:tc>
          <w:tcPr/>
          <w:p>
            <w:pPr>
              <w:pStyle w:val="Compact"/>
            </w:pPr>
            <w:r>
              <w:t xml:space="preserve">1,058.0</w:t>
            </w:r>
          </w:p>
        </w:tc>
        <w:tc>
          <w:tcPr/>
          <w:p>
            <w:pPr>
              <w:pStyle w:val="Compact"/>
            </w:pPr>
            <w:r>
              <w:t xml:space="preserve">75% de chunks &lt; 1,058 tokens</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1.2.2 Estadísticas de Documentos Completos</w:t>
      </w:r>
    </w:p>
    <w:p>
      <w:pPr>
        <w:pStyle w:val="FirstParagraph"/>
      </w:pPr>
      <w:r>
        <w:t xml:space="preserve">El análisis de documentos completos antes de la segmentación revela: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1,048.0</w:t>
            </w:r>
          </w:p>
        </w:tc>
        <w:tc>
          <w:tcPr/>
          <w:p>
            <w:pPr>
              <w:pStyle w:val="Compact"/>
            </w:pPr>
            <w:r>
              <w:t xml:space="preserve">Documentos técnicos de tamaño moderado</w:t>
            </w:r>
          </w:p>
        </w:tc>
      </w:tr>
      <w:tr>
        <w:tc>
          <w:tcPr/>
          <w:p>
            <w:pPr>
              <w:pStyle w:val="Compact"/>
            </w:pPr>
            <w:r>
              <w:rPr>
                <w:b/>
                <w:bCs/>
              </w:rPr>
              <w:t xml:space="preserve">Mediana</w:t>
            </w:r>
          </w:p>
        </w:tc>
        <w:tc>
          <w:tcPr/>
          <w:p>
            <w:pPr>
              <w:pStyle w:val="Compact"/>
            </w:pPr>
            <w:r>
              <w:t xml:space="preserve">973.0</w:t>
            </w:r>
          </w:p>
        </w:tc>
        <w:tc>
          <w:tcPr/>
          <w:p>
            <w:pPr>
              <w:pStyle w:val="Compact"/>
            </w:pPr>
            <w:r>
              <w:t xml:space="preserve">Distribución relativamente simétrica</w:t>
            </w:r>
          </w:p>
        </w:tc>
      </w:tr>
      <w:tr>
        <w:tc>
          <w:tcPr/>
          <w:p>
            <w:pPr>
              <w:pStyle w:val="Compact"/>
            </w:pPr>
            <w:r>
              <w:rPr>
                <w:b/>
                <w:bCs/>
              </w:rPr>
              <w:t xml:space="preserve">Desviación Estándar</w:t>
            </w:r>
          </w:p>
        </w:tc>
        <w:tc>
          <w:tcPr/>
          <w:p>
            <w:pPr>
              <w:pStyle w:val="Compact"/>
            </w:pPr>
            <w:r>
              <w:t xml:space="preserve">802.4</w:t>
            </w:r>
          </w:p>
        </w:tc>
        <w:tc>
          <w:tcPr/>
          <w:p>
            <w:pPr>
              <w:pStyle w:val="Compact"/>
            </w:pPr>
            <w:r>
              <w:t xml:space="preserve">Alta variabilidad en complejidad</w:t>
            </w:r>
          </w:p>
        </w:tc>
      </w:tr>
      <w:tr>
        <w:tc>
          <w:tcPr/>
          <w:p>
            <w:pPr>
              <w:pStyle w:val="Compact"/>
            </w:pPr>
            <w:r>
              <w:rPr>
                <w:b/>
                <w:bCs/>
              </w:rPr>
              <w:t xml:space="preserve">Mínimo</w:t>
            </w:r>
          </w:p>
        </w:tc>
        <w:tc>
          <w:tcPr/>
          <w:p>
            <w:pPr>
              <w:pStyle w:val="Compact"/>
            </w:pPr>
            <w:r>
              <w:t xml:space="preserve">1</w:t>
            </w:r>
          </w:p>
        </w:tc>
        <w:tc>
          <w:tcPr/>
          <w:p>
            <w:pPr>
              <w:pStyle w:val="Compact"/>
            </w:pPr>
            <w:r>
              <w:t xml:space="preserve">Documentos mínimos (redirecciones, etc.)</w:t>
            </w:r>
          </w:p>
        </w:tc>
      </w:tr>
      <w:tr>
        <w:tc>
          <w:tcPr/>
          <w:p>
            <w:pPr>
              <w:pStyle w:val="Compact"/>
            </w:pPr>
            <w:r>
              <w:rPr>
                <w:b/>
                <w:bCs/>
              </w:rPr>
              <w:t xml:space="preserve">Máximo</w:t>
            </w:r>
          </w:p>
        </w:tc>
        <w:tc>
          <w:tcPr/>
          <w:p>
            <w:pPr>
              <w:pStyle w:val="Compact"/>
            </w:pPr>
            <w:r>
              <w:t xml:space="preserve">16,267</w:t>
            </w:r>
          </w:p>
        </w:tc>
        <w:tc>
          <w:tcPr/>
          <w:p>
            <w:pPr>
              <w:pStyle w:val="Compact"/>
            </w:pPr>
            <w:r>
              <w:t xml:space="preserve">Documentos técnicos muy complejos</w:t>
            </w:r>
          </w:p>
        </w:tc>
      </w:tr>
      <w:tr>
        <w:tc>
          <w:tcPr/>
          <w:p>
            <w:pPr>
              <w:pStyle w:val="Compact"/>
            </w:pPr>
            <w:r>
              <w:rPr>
                <w:b/>
                <w:bCs/>
              </w:rPr>
              <w:t xml:space="preserve">Q25</w:t>
            </w:r>
          </w:p>
        </w:tc>
        <w:tc>
          <w:tcPr/>
          <w:p>
            <w:pPr>
              <w:pStyle w:val="Compact"/>
            </w:pPr>
            <w:r>
              <w:t xml:space="preserve">681.5</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1,125.0</w:t>
            </w:r>
          </w:p>
        </w:tc>
        <w:tc>
          <w:tcPr/>
          <w:p>
            <w:pPr>
              <w:pStyle w:val="Compact"/>
            </w:pPr>
            <w:r>
              <w:t xml:space="preserve">Documentos de implementación detallada</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1.2.3 Análisis de la Distribución</w:t>
      </w:r>
    </w:p>
    <w:p>
      <w:pPr>
        <w:pStyle w:val="FirstParagraph"/>
      </w:pPr>
      <w:r>
        <w:t xml:space="preserve">La distribución de longitudes presenta características importantes:</w:t>
      </w:r>
    </w:p>
    <w:p>
      <w:pPr>
        <w:pStyle w:val="Compact"/>
        <w:numPr>
          <w:ilvl w:val="0"/>
          <w:numId w:val="1011"/>
        </w:numPr>
      </w:pPr>
      <w:r>
        <w:rPr>
          <w:b/>
          <w:bCs/>
        </w:rPr>
        <w:t xml:space="preserve">Sesgo positivo:</w:t>
      </w:r>
      <w:r>
        <w:t xml:space="preserve"> </w:t>
      </w:r>
      <w:r>
        <w:t xml:space="preserve">La mediana (968) es mayor que la media (872.3)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39.7% indica variabilidad moderada, apropiada para embeddings</w:t>
      </w:r>
    </w:p>
    <w:p>
      <w:pPr>
        <w:pStyle w:val="Compact"/>
        <w:numPr>
          <w:ilvl w:val="0"/>
          <w:numId w:val="1011"/>
        </w:numPr>
      </w:pPr>
      <w:r>
        <w:rPr>
          <w:b/>
          <w:bCs/>
        </w:rPr>
        <w:t xml:space="preserve">Rango dinámico:</w:t>
      </w:r>
      <w:r>
        <w:t xml:space="preserve"> </w:t>
      </w:r>
      <w:r>
        <w:t xml:space="preserve">Factor de 3,366x entre mínimo y máximo sugiere alta diversidad de contenido</w:t>
      </w:r>
    </w:p>
    <w:p>
      <w:pPr>
        <w:pStyle w:val="Compact"/>
        <w:numPr>
          <w:ilvl w:val="0"/>
          <w:numId w:val="1011"/>
        </w:numPr>
      </w:pPr>
      <w:r>
        <w:rPr>
          <w:b/>
          <w:bCs/>
        </w:rPr>
        <w:t xml:space="preserve">Concentración:</w:t>
      </w:r>
      <w:r>
        <w:t xml:space="preserve"> </w:t>
      </w:r>
      <w:r>
        <w:t xml:space="preserve">50% de los chunks están entre 755-1,058 tokens, rango óptimo para modelos de embedding</w:t>
      </w:r>
    </w:p>
    <w:bookmarkEnd w:id="162"/>
    <w:bookmarkEnd w:id="163"/>
    <w:bookmarkStart w:id="167" w:name="distribución-temática-del-corpus"/>
    <w:p>
      <w:pPr>
        <w:pStyle w:val="Heading3"/>
      </w:pPr>
      <w:r>
        <w:rPr>
          <w:rStyle w:val="SectionNumber"/>
        </w:rPr>
        <w:t xml:space="preserve">6.2.3</w:t>
      </w:r>
      <w:r>
        <w:tab/>
      </w:r>
      <w:r>
        <w:t xml:space="preserve">1.3 Distribución Temática del Corpus</w:t>
      </w:r>
    </w:p>
    <w:bookmarkStart w:id="164" w:name="metodología-de-clasificación"/>
    <w:p>
      <w:pPr>
        <w:pStyle w:val="Heading4"/>
      </w:pPr>
      <w:r>
        <w:rPr>
          <w:rStyle w:val="SectionNumber"/>
        </w:rPr>
        <w:t xml:space="preserve">6.2.3.1</w:t>
      </w:r>
      <w:r>
        <w:tab/>
      </w:r>
      <w:r>
        <w:t xml:space="preserve">1.3.1 Metodología de Clasificación</w:t>
      </w:r>
    </w:p>
    <w:p>
      <w:pPr>
        <w:pStyle w:val="FirstParagraph"/>
      </w:pPr>
      <w:r>
        <w:t xml:space="preserve">La clasificación temática se realizó mediante análisis de contenido basado en keywords con sistema de puntuación ponderada sobre una muestra estratificada de 5,000 documentos representativos del corpus completo.</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1.3.2 Resultados de la Distribución Temática</w:t>
      </w:r>
    </w:p>
    <w:tbl>
      <w:tblPr>
        <w:tblStyle w:val="Table"/>
        <w:tblW w:type="pct" w:w="5000"/>
        <w:tblLayout w:type="fixed"/>
        <w:tblLook w:firstRow="1" w:lastRow="0" w:firstColumn="0" w:lastColumn="0" w:noHBand="0" w:noVBand="0" w:val="0020"/>
      </w:tblPr>
      <w:tblGrid>
        <w:gridCol w:w="1382"/>
        <w:gridCol w:w="1508"/>
        <w:gridCol w:w="1508"/>
        <w:gridCol w:w="3520"/>
      </w:tblGrid>
      <w:tr>
        <w:trPr>
          <w:tblHeader w:val="on"/>
        </w:trPr>
        <w:tc>
          <w:tcPr/>
          <w:p>
            <w:pPr>
              <w:pStyle w:val="Compact"/>
            </w:pPr>
            <w:r>
              <w:t xml:space="preserve">Categoría</w:t>
            </w:r>
          </w:p>
        </w:tc>
        <w:tc>
          <w:tcPr/>
          <w:p>
            <w:pPr>
              <w:pStyle w:val="Compact"/>
            </w:pPr>
            <w:r>
              <w:t xml:space="preserve">Documentos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2,010</w:t>
            </w:r>
          </w:p>
        </w:tc>
        <w:tc>
          <w:tcPr/>
          <w:p>
            <w:pPr>
              <w:pStyle w:val="Compact"/>
            </w:pPr>
            <w:r>
              <w:rPr>
                <w:b/>
                <w:bCs/>
              </w:rPr>
              <w:t xml:space="preserve">40.2%</w:t>
            </w:r>
          </w:p>
        </w:tc>
        <w:tc>
          <w:tcPr/>
          <w:p>
            <w:pPr>
              <w:pStyle w:val="Compact"/>
            </w:pPr>
            <w:r>
              <w:t xml:space="preserve">APIs, SDKs, código, frameworks</w:t>
            </w:r>
          </w:p>
        </w:tc>
      </w:tr>
      <w:tr>
        <w:tc>
          <w:tcPr/>
          <w:p>
            <w:pPr>
              <w:pStyle w:val="Compact"/>
            </w:pPr>
            <w:r>
              <w:rPr>
                <w:b/>
                <w:bCs/>
              </w:rPr>
              <w:t xml:space="preserve">Operations</w:t>
            </w:r>
          </w:p>
        </w:tc>
        <w:tc>
          <w:tcPr/>
          <w:p>
            <w:pPr>
              <w:pStyle w:val="Compact"/>
            </w:pPr>
            <w:r>
              <w:t xml:space="preserve">1,380</w:t>
            </w:r>
          </w:p>
        </w:tc>
        <w:tc>
          <w:tcPr/>
          <w:p>
            <w:pPr>
              <w:pStyle w:val="Compact"/>
            </w:pPr>
            <w:r>
              <w:rPr>
                <w:b/>
                <w:bCs/>
              </w:rPr>
              <w:t xml:space="preserve">27.6%</w:t>
            </w:r>
          </w:p>
        </w:tc>
        <w:tc>
          <w:tcPr/>
          <w:p>
            <w:pPr>
              <w:pStyle w:val="Compact"/>
            </w:pPr>
            <w:r>
              <w:t xml:space="preserve">Deployment, monitoreo, admin</w:t>
            </w:r>
          </w:p>
        </w:tc>
      </w:tr>
      <w:tr>
        <w:tc>
          <w:tcPr/>
          <w:p>
            <w:pPr>
              <w:pStyle w:val="Compact"/>
            </w:pPr>
            <w:r>
              <w:rPr>
                <w:b/>
                <w:bCs/>
              </w:rPr>
              <w:t xml:space="preserve">Security</w:t>
            </w:r>
          </w:p>
        </w:tc>
        <w:tc>
          <w:tcPr/>
          <w:p>
            <w:pPr>
              <w:pStyle w:val="Compact"/>
            </w:pPr>
            <w:r>
              <w:t xml:space="preserve">994</w:t>
            </w:r>
          </w:p>
        </w:tc>
        <w:tc>
          <w:tcPr/>
          <w:p>
            <w:pPr>
              <w:pStyle w:val="Compact"/>
            </w:pPr>
            <w:r>
              <w:rPr>
                <w:b/>
                <w:bCs/>
              </w:rPr>
              <w:t xml:space="preserve">19.9%</w:t>
            </w:r>
          </w:p>
        </w:tc>
        <w:tc>
          <w:tcPr/>
          <w:p>
            <w:pPr>
              <w:pStyle w:val="Compact"/>
            </w:pPr>
            <w:r>
              <w:t xml:space="preserve">Auth, compliance, encryption</w:t>
            </w:r>
          </w:p>
        </w:tc>
      </w:tr>
      <w:tr>
        <w:tc>
          <w:tcPr/>
          <w:p>
            <w:pPr>
              <w:pStyle w:val="Compact"/>
            </w:pPr>
            <w:r>
              <w:rPr>
                <w:b/>
                <w:bCs/>
              </w:rPr>
              <w:t xml:space="preserve">Azure Services</w:t>
            </w:r>
          </w:p>
        </w:tc>
        <w:tc>
          <w:tcPr/>
          <w:p>
            <w:pPr>
              <w:pStyle w:val="Compact"/>
            </w:pPr>
            <w:r>
              <w:t xml:space="preserve">616</w:t>
            </w:r>
          </w:p>
        </w:tc>
        <w:tc>
          <w:tcPr/>
          <w:p>
            <w:pPr>
              <w:pStyle w:val="Compact"/>
            </w:pPr>
            <w:r>
              <w:rPr>
                <w:b/>
                <w:bCs/>
              </w:rPr>
              <w:t xml:space="preserve">12.3%</w:t>
            </w:r>
          </w:p>
        </w:tc>
        <w:tc>
          <w:tcPr/>
          <w:p>
            <w:pPr>
              <w:pStyle w:val="Compact"/>
            </w:pPr>
            <w:r>
              <w:t xml:space="preserve">Servicios específicos, configs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1.3.3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de Development (40.2%):</w:t>
      </w:r>
      <w:r>
        <w:t xml:space="preserve"> </w:t>
      </w:r>
      <w:r>
        <w:t xml:space="preserve">Refleja el enfoque técnico de Microsoft Learn hacia desarrolladores</w:t>
      </w:r>
    </w:p>
    <w:p>
      <w:pPr>
        <w:pStyle w:val="Compact"/>
        <w:numPr>
          <w:ilvl w:val="0"/>
          <w:numId w:val="1012"/>
        </w:numPr>
      </w:pPr>
      <w:r>
        <w:rPr>
          <w:b/>
          <w:bCs/>
        </w:rPr>
        <w:t xml:space="preserve">Operations significativo (27.6%):</w:t>
      </w:r>
      <w:r>
        <w:t xml:space="preserve"> </w:t>
      </w:r>
      <w:r>
        <w:t xml:space="preserve">Indica importancia de la administración y deployment en Azure</w:t>
      </w:r>
    </w:p>
    <w:p>
      <w:pPr>
        <w:pStyle w:val="Compact"/>
        <w:numPr>
          <w:ilvl w:val="0"/>
          <w:numId w:val="1012"/>
        </w:numPr>
      </w:pPr>
      <w:r>
        <w:rPr>
          <w:b/>
          <w:bCs/>
        </w:rPr>
        <w:t xml:space="preserve">Security robusto (19.9%):</w:t>
      </w:r>
      <w:r>
        <w:t xml:space="preserve"> </w:t>
      </w:r>
      <w:r>
        <w:t xml:space="preserve">Demuestra prioridad en aspectos de seguridad</w:t>
      </w:r>
    </w:p>
    <w:p>
      <w:pPr>
        <w:pStyle w:val="Compact"/>
        <w:numPr>
          <w:ilvl w:val="0"/>
          <w:numId w:val="1012"/>
        </w:numPr>
      </w:pPr>
      <w:r>
        <w:rPr>
          <w:b/>
          <w:bCs/>
        </w:rPr>
        <w:t xml:space="preserve">Azure Services específico (12.3%):</w:t>
      </w:r>
      <w:r>
        <w:t xml:space="preserve"> </w:t>
      </w:r>
      <w:r>
        <w:t xml:space="preserve">Documentación especializada en servicios particulares</w:t>
      </w:r>
    </w:p>
    <w:p>
      <w:pPr>
        <w:pStyle w:val="FirstParagraph"/>
      </w:pPr>
      <w:r>
        <w:rPr>
          <w:b/>
          <w:bCs/>
        </w:rPr>
        <w:t xml:space="preserve">Implicaciones para el Sistema RAG:</w:t>
      </w:r>
      <w:r>
        <w:t xml:space="preserve"> </w:t>
      </w:r>
      <w:r>
        <w:t xml:space="preserve">-</w:t>
      </w:r>
      <w:r>
        <w:t xml:space="preserve"> </w:t>
      </w:r>
      <w:r>
        <w:rPr>
          <w:b/>
          <w:bCs/>
        </w:rPr>
        <w:t xml:space="preserve">Especialización necesaria:</w:t>
      </w:r>
      <w:r>
        <w:t xml:space="preserve"> </w:t>
      </w:r>
      <w:r>
        <w:t xml:space="preserve">El 40.2% en Development requiere embeddings especializados en código y APIs</w:t>
      </w:r>
      <w:r>
        <w:t xml:space="preserve"> </w:t>
      </w:r>
      <w:r>
        <w:t xml:space="preserve">-</w:t>
      </w:r>
      <w:r>
        <w:t xml:space="preserve"> </w:t>
      </w:r>
      <w:r>
        <w:rPr>
          <w:b/>
          <w:bCs/>
        </w:rPr>
        <w:t xml:space="preserve">Diversidad equilibrada:</w:t>
      </w:r>
      <w:r>
        <w:t xml:space="preserve"> </w:t>
      </w:r>
      <w:r>
        <w:t xml:space="preserve">Distribución balanceada permite evaluación comprehensiva</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1.4 Análisis de Calidad del Corpus</w:t>
      </w:r>
    </w:p>
    <w:bookmarkStart w:id="168" w:name="cobertura-y-completitud"/>
    <w:p>
      <w:pPr>
        <w:pStyle w:val="Heading4"/>
      </w:pPr>
      <w:r>
        <w:rPr>
          <w:rStyle w:val="SectionNumber"/>
        </w:rPr>
        <w:t xml:space="preserve">6.2.4.1</w:t>
      </w:r>
      <w:r>
        <w:tab/>
      </w:r>
      <w:r>
        <w:t xml:space="preserve">1.4.1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1.4.2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1.4.3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2. Características del Dataset de Preguntas</w:t>
      </w:r>
    </w:p>
    <w:bookmarkStart w:id="173" w:name="composición-del-dataset-de-preguntas"/>
    <w:p>
      <w:pPr>
        <w:pStyle w:val="Heading3"/>
      </w:pPr>
      <w:r>
        <w:rPr>
          <w:rStyle w:val="SectionNumber"/>
        </w:rPr>
        <w:t xml:space="preserve">6.3.1</w:t>
      </w:r>
      <w:r>
        <w:tab/>
      </w:r>
      <w:r>
        <w:t xml:space="preserve">2.1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2.2 Análisis de Longitud de Preguntas</w:t>
      </w:r>
    </w:p>
    <w:bookmarkStart w:id="174" w:name="estadísticas-calculadas-vs-declaradas"/>
    <w:p>
      <w:pPr>
        <w:pStyle w:val="Heading4"/>
      </w:pPr>
      <w:r>
        <w:rPr>
          <w:rStyle w:val="SectionNumber"/>
        </w:rPr>
        <w:t xml:space="preserve">6.3.2.1</w:t>
      </w:r>
      <w:r>
        <w:tab/>
      </w:r>
      <w:r>
        <w:t xml:space="preserve">2.2.1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2.2.2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2.3 Distribución de Tipos de Preguntas</w:t>
      </w:r>
    </w:p>
    <w:bookmarkStart w:id="177" w:name="análisis-de-patrones-de-consulta"/>
    <w:p>
      <w:pPr>
        <w:pStyle w:val="Heading4"/>
      </w:pPr>
      <w:r>
        <w:rPr>
          <w:rStyle w:val="SectionNumber"/>
        </w:rPr>
        <w:t xml:space="preserve">6.3.3.1</w:t>
      </w:r>
      <w:r>
        <w:tab/>
      </w:r>
      <w:r>
        <w:t xml:space="preserve">2.3.1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2.3.2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2.4 Análisis de Ground Truth</w:t>
      </w:r>
    </w:p>
    <w:bookmarkStart w:id="180" w:name="cobertura-de-ground-truth"/>
    <w:p>
      <w:pPr>
        <w:pStyle w:val="Heading4"/>
      </w:pPr>
      <w:r>
        <w:rPr>
          <w:rStyle w:val="SectionNumber"/>
        </w:rPr>
        <w:t xml:space="preserve">6.3.4.1</w:t>
      </w:r>
      <w:r>
        <w:tab/>
      </w:r>
      <w:r>
        <w:t xml:space="preserve">2.4.1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2.4.2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2.4.3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3. Análisis de Correspondencia entre Datos</w:t>
      </w:r>
    </w:p>
    <w:bookmarkStart w:id="187" w:name="mapping-preguntas-documentos"/>
    <w:p>
      <w:pPr>
        <w:pStyle w:val="Heading3"/>
      </w:pPr>
      <w:r>
        <w:rPr>
          <w:rStyle w:val="SectionNumber"/>
        </w:rPr>
        <w:t xml:space="preserve">6.4.1</w:t>
      </w:r>
      <w:r>
        <w:tab/>
      </w:r>
      <w:r>
        <w:t xml:space="preserve">3.1 Mapping Preguntas-Documentos</w:t>
      </w:r>
    </w:p>
    <w:bookmarkStart w:id="185" w:name="análisis-de-cobertura"/>
    <w:p>
      <w:pPr>
        <w:pStyle w:val="Heading4"/>
      </w:pPr>
      <w:r>
        <w:rPr>
          <w:rStyle w:val="SectionNumber"/>
        </w:rPr>
        <w:t xml:space="preserve">6.4.1.1</w:t>
      </w:r>
      <w:r>
        <w:tab/>
      </w:r>
      <w:r>
        <w:t xml:space="preserve">3.1.1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3.1.2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3.2 Distribución Temática de Ground Truth</w:t>
      </w:r>
    </w:p>
    <w:bookmarkStart w:id="188" w:name="alineación-temática"/>
    <w:p>
      <w:pPr>
        <w:pStyle w:val="Heading4"/>
      </w:pPr>
      <w:r>
        <w:rPr>
          <w:rStyle w:val="SectionNumber"/>
        </w:rPr>
        <w:t xml:space="preserve">6.4.2.1</w:t>
      </w:r>
      <w:r>
        <w:tab/>
      </w:r>
      <w:r>
        <w:t xml:space="preserve">3.2.1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3.3 Calidad de la Correspondencia</w:t>
      </w:r>
    </w:p>
    <w:bookmarkStart w:id="190" w:name="relevancia-de-las-correspondencias"/>
    <w:p>
      <w:pPr>
        <w:pStyle w:val="Heading4"/>
      </w:pPr>
      <w:r>
        <w:rPr>
          <w:rStyle w:val="SectionNumber"/>
        </w:rPr>
        <w:t xml:space="preserve">6.4.3.1</w:t>
      </w:r>
      <w:r>
        <w:tab/>
      </w:r>
      <w:r>
        <w:t xml:space="preserve">3.3.1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3.3.2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 Hallazgos Principales del EDA</w:t>
      </w:r>
    </w:p>
    <w:bookmarkStart w:id="196" w:name="características-estructurales"/>
    <w:p>
      <w:pPr>
        <w:pStyle w:val="Heading3"/>
      </w:pPr>
      <w:r>
        <w:rPr>
          <w:rStyle w:val="SectionNumber"/>
        </w:rPr>
        <w:t xml:space="preserve">6.5.1</w:t>
      </w:r>
      <w:r>
        <w:tab/>
      </w:r>
      <w:r>
        <w:t xml:space="preserve">4.1 Características Estructurales</w:t>
      </w:r>
    </w:p>
    <w:bookmarkStart w:id="194" w:name="corpus-de-documentación"/>
    <w:p>
      <w:pPr>
        <w:pStyle w:val="Heading4"/>
      </w:pPr>
      <w:r>
        <w:rPr>
          <w:rStyle w:val="SectionNumber"/>
        </w:rPr>
        <w:t xml:space="preserve">6.5.1.1</w:t>
      </w:r>
      <w:r>
        <w:tab/>
      </w:r>
      <w:r>
        <w:t xml:space="preserve">4.1.1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4.2 Implicaciones para el Sistema RAG</w:t>
      </w:r>
    </w:p>
    <w:bookmarkStart w:id="197" w:name="oportunidades-identificadas"/>
    <w:p>
      <w:pPr>
        <w:pStyle w:val="Heading4"/>
      </w:pPr>
      <w:r>
        <w:rPr>
          <w:rStyle w:val="SectionNumber"/>
        </w:rPr>
        <w:t xml:space="preserve">6.5.2.1</w:t>
      </w:r>
      <w:r>
        <w:tab/>
      </w:r>
      <w:r>
        <w:t xml:space="preserve">4.2.1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4.3 Benchmarking del Corpus</w:t>
      </w:r>
    </w:p>
    <w:bookmarkStart w:id="200" w:name="comparación-con-corpus-estándar"/>
    <w:p>
      <w:pPr>
        <w:pStyle w:val="Heading4"/>
      </w:pPr>
      <w:r>
        <w:rPr>
          <w:rStyle w:val="SectionNumber"/>
        </w:rPr>
        <w:t xml:space="preserve">6.5.3.1</w:t>
      </w:r>
      <w:r>
        <w:tab/>
      </w:r>
      <w:r>
        <w:t xml:space="preserve">4.3.1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5. Recomendaciones para Mejoras</w:t>
      </w:r>
    </w:p>
    <w:bookmarkStart w:id="206" w:name="mejoras-al-corpus-de-documentación"/>
    <w:p>
      <w:pPr>
        <w:pStyle w:val="Heading3"/>
      </w:pPr>
      <w:r>
        <w:rPr>
          <w:rStyle w:val="SectionNumber"/>
        </w:rPr>
        <w:t xml:space="preserve">6.6.1</w:t>
      </w:r>
      <w:r>
        <w:tab/>
      </w:r>
      <w:r>
        <w:t xml:space="preserve">5.1 Mejoras al Corpus de Documentación</w:t>
      </w:r>
    </w:p>
    <w:bookmarkStart w:id="204" w:name="expansión-de-contenido"/>
    <w:p>
      <w:pPr>
        <w:pStyle w:val="Heading4"/>
      </w:pPr>
      <w:r>
        <w:rPr>
          <w:rStyle w:val="SectionNumber"/>
        </w:rPr>
        <w:t xml:space="preserve">6.6.1.1</w:t>
      </w:r>
      <w:r>
        <w:tab/>
      </w:r>
      <w:r>
        <w:t xml:space="preserve">5.1.1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5.1.2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5.2 Mejoras al Dataset de Preguntas</w:t>
      </w:r>
    </w:p>
    <w:bookmarkStart w:id="207" w:name="expansión-de-ground-truth"/>
    <w:p>
      <w:pPr>
        <w:pStyle w:val="Heading4"/>
      </w:pPr>
      <w:r>
        <w:rPr>
          <w:rStyle w:val="SectionNumber"/>
        </w:rPr>
        <w:t xml:space="preserve">6.6.2.1</w:t>
      </w:r>
      <w:r>
        <w:tab/>
      </w:r>
      <w:r>
        <w:t xml:space="preserve">5.2.1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5.2.2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5.3 Mejoras Metodológicas</w:t>
      </w:r>
    </w:p>
    <w:bookmarkStart w:id="210" w:name="análisis-continuo"/>
    <w:p>
      <w:pPr>
        <w:pStyle w:val="Heading4"/>
      </w:pPr>
      <w:r>
        <w:rPr>
          <w:rStyle w:val="SectionNumber"/>
        </w:rPr>
        <w:t xml:space="preserve">6.6.3.1</w:t>
      </w:r>
      <w:r>
        <w:tab/>
      </w:r>
      <w:r>
        <w:t xml:space="preserve">5.3.1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5.3.2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6. Conclusiones del EDA</w:t>
      </w:r>
    </w:p>
    <w:bookmarkStart w:id="214" w:name="síntesis-de-hallazgos"/>
    <w:p>
      <w:pPr>
        <w:pStyle w:val="Heading3"/>
      </w:pPr>
      <w:r>
        <w:rPr>
          <w:rStyle w:val="SectionNumber"/>
        </w:rPr>
        <w:t xml:space="preserve">6.7.1</w:t>
      </w:r>
      <w:r>
        <w:tab/>
      </w:r>
      <w:r>
        <w:t xml:space="preserve">6.1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6.2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6.3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2025-08-02T20:44:01Z</dcterms:created>
  <dcterms:modified xsi:type="dcterms:W3CDTF">2025-08-02T20:44:01Z</dcterms:modified>
</cp:coreProperties>
</file>

<file path=docProps/custom.xml><?xml version="1.0" encoding="utf-8"?>
<Properties xmlns="http://schemas.openxmlformats.org/officeDocument/2006/custom-properties" xmlns:vt="http://schemas.openxmlformats.org/officeDocument/2006/docPropsVTypes"/>
</file>