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análisis-exploratorio-de-datos-eda-1"/>
    <w:p>
      <w:pPr>
        <w:pStyle w:val="Heading1"/>
      </w:pPr>
      <w:r>
        <w:rPr>
          <w:rStyle w:val="SectionNumber"/>
        </w:rPr>
        <w:t xml:space="preserve">6</w:t>
      </w:r>
      <w:r>
        <w:tab/>
      </w:r>
      <w:r>
        <w:t xml:space="preserve">4. ANÁLISIS EXPLORATORIO DE DATOS (EDA)</w:t>
      </w:r>
    </w:p>
    <w:bookmarkStart w:id="158" w:name="introducción-2"/>
    <w:p>
      <w:pPr>
        <w:pStyle w:val="Heading2"/>
      </w:pPr>
      <w:r>
        <w:rPr>
          <w:rStyle w:val="SectionNumber"/>
        </w:rPr>
        <w:t xml:space="preserve">6.1</w:t>
      </w:r>
      <w:r>
        <w:tab/>
      </w:r>
      <w:r>
        <w:t xml:space="preserve">4.1 Introducción</w:t>
      </w:r>
    </w:p>
    <w:p>
      <w:pPr>
        <w:pStyle w:val="FirstParagraph"/>
      </w:pPr>
      <w:r>
        <w:t xml:space="preserve">Este capítulo presenta un análisis exploratorio exhaustivo del corpus completo de documentación técnica de Microsoft Azure y el dataset de preguntas de Microsoft Q&amp;A utilizado en esta investigación. El análisis se basa en el procesamiento integral de todos los datos reales extraídos durante julio-agosto de 2025, proporcionando una caracterización completa y detallada del dominio de trabajo.</w:t>
      </w:r>
    </w:p>
    <w:p>
      <w:pPr>
        <w:pStyle w:val="BodyText"/>
      </w:pPr>
      <w:r>
        <w:t xml:space="preserve">El corpus analizado comprende la totalidad de 62,417 documentos únicos de Microsoft Learn segmentados en 187,031 chunks, junto con 13,436 preguntas de Microsoft Q&amp;A. Todos los análisis presentados procesan el 100% del corpus disponible, utilizando datos verificables y reproducibles, con scripts de análisis optimizados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4.2 Características del Corpus de Documentos</w:t>
      </w:r>
    </w:p>
    <w:bookmarkStart w:id="159" w:name="composición-general-del-corpus"/>
    <w:p>
      <w:pPr>
        <w:pStyle w:val="Heading3"/>
      </w:pPr>
      <w:r>
        <w:rPr>
          <w:rStyle w:val="SectionNumber"/>
        </w:rPr>
        <w:t xml:space="preserve">6.2.1</w:t>
      </w:r>
      <w:r>
        <w:tab/>
      </w:r>
      <w:r>
        <w:t xml:space="preserve">4.2.1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4.2.2 Análisis de Longitud de Documentos</w:t>
      </w:r>
    </w:p>
    <w:bookmarkStart w:id="160" w:name="estadísticas-de-chunks"/>
    <w:p>
      <w:pPr>
        <w:pStyle w:val="Heading4"/>
      </w:pPr>
      <w:r>
        <w:rPr>
          <w:rStyle w:val="SectionNumber"/>
        </w:rPr>
        <w:t xml:space="preserve">6.2.2.1</w:t>
      </w:r>
      <w:r>
        <w:tab/>
      </w:r>
      <w:r>
        <w:t xml:space="preserve">4.2.2.1 Estadísticas de Chunks</w:t>
      </w:r>
    </w:p>
    <w:p>
      <w:pPr>
        <w:pStyle w:val="FirstParagraph"/>
      </w:pPr>
      <w:r>
        <w:t xml:space="preserve">Basándose en el análisis COMPLETO de los 187,031 chunks del corpus utilizando tokenización optimizada,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779.0</w:t>
            </w:r>
          </w:p>
        </w:tc>
        <w:tc>
          <w:tcPr/>
          <w:p>
            <w:pPr>
              <w:pStyle w:val="Compact"/>
            </w:pPr>
            <w:r>
              <w:t xml:space="preserve">Chunks sustanciales con contenido técnico rico</w:t>
            </w:r>
          </w:p>
        </w:tc>
      </w:tr>
      <w:tr>
        <w:tc>
          <w:tcPr/>
          <w:p>
            <w:pPr>
              <w:pStyle w:val="Compact"/>
            </w:pPr>
            <w:r>
              <w:rPr>
                <w:b/>
                <w:bCs/>
              </w:rPr>
              <w:t xml:space="preserve">Mediana</w:t>
            </w:r>
          </w:p>
        </w:tc>
        <w:tc>
          <w:tcPr/>
          <w:p>
            <w:pPr>
              <w:pStyle w:val="Compact"/>
            </w:pPr>
            <w:r>
              <w:t xml:space="preserve">876.0</w:t>
            </w:r>
          </w:p>
        </w:tc>
        <w:tc>
          <w:tcPr/>
          <w:p>
            <w:pPr>
              <w:pStyle w:val="Compact"/>
            </w:pPr>
            <w:r>
              <w:t xml:space="preserve">Distribución centrada en chunks de tamaño medio</w:t>
            </w:r>
          </w:p>
        </w:tc>
      </w:tr>
      <w:tr>
        <w:tc>
          <w:tcPr/>
          <w:p>
            <w:pPr>
              <w:pStyle w:val="Compact"/>
            </w:pPr>
            <w:r>
              <w:rPr>
                <w:b/>
                <w:bCs/>
              </w:rPr>
              <w:t xml:space="preserve">Desviación Estándar</w:t>
            </w:r>
          </w:p>
        </w:tc>
        <w:tc>
          <w:tcPr/>
          <w:p>
            <w:pPr>
              <w:pStyle w:val="Compact"/>
            </w:pPr>
            <w:r>
              <w:t xml:space="preserve">298.6</w:t>
            </w:r>
          </w:p>
        </w:tc>
        <w:tc>
          <w:tcPr/>
          <w:p>
            <w:pPr>
              <w:pStyle w:val="Compact"/>
            </w:pPr>
            <w:r>
              <w:t xml:space="preserve">Variabilidad controlada y apropiada</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redirects)</w:t>
            </w:r>
          </w:p>
        </w:tc>
      </w:tr>
      <w:tr>
        <w:tc>
          <w:tcPr/>
          <w:p>
            <w:pPr>
              <w:pStyle w:val="Compact"/>
            </w:pPr>
            <w:r>
              <w:rPr>
                <w:b/>
                <w:bCs/>
              </w:rPr>
              <w:t xml:space="preserve">Máximo</w:t>
            </w:r>
          </w:p>
        </w:tc>
        <w:tc>
          <w:tcPr/>
          <w:p>
            <w:pPr>
              <w:pStyle w:val="Compact"/>
            </w:pPr>
            <w:r>
              <w:t xml:space="preserve">2,155</w:t>
            </w:r>
          </w:p>
        </w:tc>
        <w:tc>
          <w:tcPr/>
          <w:p>
            <w:pPr>
              <w:pStyle w:val="Compact"/>
            </w:pPr>
            <w:r>
              <w:t xml:space="preserve">Chunks de documentos técnicos muy detallados</w:t>
            </w:r>
          </w:p>
        </w:tc>
      </w:tr>
      <w:tr>
        <w:tc>
          <w:tcPr/>
          <w:p>
            <w:pPr>
              <w:pStyle w:val="Compact"/>
            </w:pPr>
            <w:r>
              <w:rPr>
                <w:b/>
                <w:bCs/>
              </w:rPr>
              <w:t xml:space="preserve">Q25</w:t>
            </w:r>
          </w:p>
        </w:tc>
        <w:tc>
          <w:tcPr/>
          <w:p>
            <w:pPr>
              <w:pStyle w:val="Compact"/>
            </w:pPr>
            <w:r>
              <w:t xml:space="preserve">633.0</w:t>
            </w:r>
          </w:p>
        </w:tc>
        <w:tc>
          <w:tcPr/>
          <w:p>
            <w:pPr>
              <w:pStyle w:val="Compact"/>
            </w:pPr>
            <w:r>
              <w:t xml:space="preserve">25% de chunks son compactos pero informativos</w:t>
            </w:r>
          </w:p>
        </w:tc>
      </w:tr>
      <w:tr>
        <w:tc>
          <w:tcPr/>
          <w:p>
            <w:pPr>
              <w:pStyle w:val="Compact"/>
            </w:pPr>
            <w:r>
              <w:rPr>
                <w:b/>
                <w:bCs/>
              </w:rPr>
              <w:t xml:space="preserve">Q75</w:t>
            </w:r>
          </w:p>
        </w:tc>
        <w:tc>
          <w:tcPr/>
          <w:p>
            <w:pPr>
              <w:pStyle w:val="Compact"/>
            </w:pPr>
            <w:r>
              <w:t xml:space="preserve">1,004.0</w:t>
            </w:r>
          </w:p>
        </w:tc>
        <w:tc>
          <w:tcPr/>
          <w:p>
            <w:pPr>
              <w:pStyle w:val="Compact"/>
            </w:pPr>
            <w:r>
              <w:t xml:space="preserve">75% de chunks están bajo 1,004 tokens</w:t>
            </w:r>
          </w:p>
        </w:tc>
      </w:tr>
      <w:tr>
        <w:tc>
          <w:tcPr/>
          <w:p>
            <w:pPr>
              <w:pStyle w:val="Compact"/>
            </w:pPr>
            <w:r>
              <w:rPr>
                <w:b/>
                <w:bCs/>
              </w:rPr>
              <w:t xml:space="preserve">Coeficiente de Variación</w:t>
            </w:r>
          </w:p>
        </w:tc>
        <w:tc>
          <w:tcPr/>
          <w:p>
            <w:pPr>
              <w:pStyle w:val="Compact"/>
            </w:pPr>
            <w:r>
              <w:t xml:space="preserve">38.3%</w:t>
            </w:r>
          </w:p>
        </w:tc>
        <w:tc>
          <w:tcPr/>
          <w:p>
            <w:pPr>
              <w:pStyle w:val="Compact"/>
            </w:pPr>
            <w:r>
              <w:t xml:space="preserve">Variabilidad moderada y bien controlada</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4.2.2.2 Estadísticas de Documentos Completos</w:t>
      </w:r>
    </w:p>
    <w:p>
      <w:pPr>
        <w:pStyle w:val="FirstParagraph"/>
      </w:pPr>
      <w:r>
        <w:t xml:space="preserve">El análisis de los 62,417 documentos únicos completos antes de la segmentación revela:</w:t>
      </w:r>
    </w:p>
    <w:tbl>
      <w:tblPr>
        <w:tblStyle w:val="Table"/>
        <w:tblW w:type="pct" w:w="5000"/>
        <w:tblLayout w:type="fixed"/>
        <w:tblLook w:firstRow="1" w:lastRow="0" w:firstColumn="0" w:lastColumn="0" w:noHBand="0" w:noVBand="0" w:val="0020"/>
      </w:tblPr>
      <w:tblGrid>
        <w:gridCol w:w="2227"/>
        <w:gridCol w:w="1980"/>
        <w:gridCol w:w="3712"/>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2,334.3</w:t>
            </w:r>
          </w:p>
        </w:tc>
        <w:tc>
          <w:tcPr/>
          <w:p>
            <w:pPr>
              <w:pStyle w:val="Compact"/>
            </w:pPr>
            <w:r>
              <w:t xml:space="preserve">Documentos técnicos sustanciales y detallados</w:t>
            </w:r>
          </w:p>
        </w:tc>
      </w:tr>
      <w:tr>
        <w:tc>
          <w:tcPr/>
          <w:p>
            <w:pPr>
              <w:pStyle w:val="Compact"/>
            </w:pPr>
            <w:r>
              <w:rPr>
                <w:b/>
                <w:bCs/>
              </w:rPr>
              <w:t xml:space="preserve">Mediana</w:t>
            </w:r>
          </w:p>
        </w:tc>
        <w:tc>
          <w:tcPr/>
          <w:p>
            <w:pPr>
              <w:pStyle w:val="Compact"/>
            </w:pPr>
            <w:r>
              <w:t xml:space="preserve">1,160.0</w:t>
            </w:r>
          </w:p>
        </w:tc>
        <w:tc>
          <w:tcPr/>
          <w:p>
            <w:pPr>
              <w:pStyle w:val="Compact"/>
            </w:pPr>
            <w:r>
              <w:t xml:space="preserve">Distribución con sesgo hacia documentos extensos</w:t>
            </w:r>
          </w:p>
        </w:tc>
      </w:tr>
      <w:tr>
        <w:tc>
          <w:tcPr/>
          <w:p>
            <w:pPr>
              <w:pStyle w:val="Compact"/>
            </w:pPr>
            <w:r>
              <w:rPr>
                <w:b/>
                <w:bCs/>
              </w:rPr>
              <w:t xml:space="preserve">Desviación Estándar</w:t>
            </w:r>
          </w:p>
        </w:tc>
        <w:tc>
          <w:tcPr/>
          <w:p>
            <w:pPr>
              <w:pStyle w:val="Compact"/>
            </w:pPr>
            <w:r>
              <w:t xml:space="preserve">4,685.6</w:t>
            </w:r>
          </w:p>
        </w:tc>
        <w:tc>
          <w:tcPr/>
          <w:p>
            <w:pPr>
              <w:pStyle w:val="Compact"/>
            </w:pPr>
            <w:r>
              <w:t xml:space="preserve">Alta variabilidad reflejando diversidad temática</w:t>
            </w:r>
          </w:p>
        </w:tc>
      </w:tr>
      <w:tr>
        <w:tc>
          <w:tcPr/>
          <w:p>
            <w:pPr>
              <w:pStyle w:val="Compact"/>
            </w:pPr>
            <w:r>
              <w:rPr>
                <w:b/>
                <w:bCs/>
              </w:rPr>
              <w:t xml:space="preserve">Mínimo</w:t>
            </w:r>
          </w:p>
        </w:tc>
        <w:tc>
          <w:tcPr/>
          <w:p>
            <w:pPr>
              <w:pStyle w:val="Compact"/>
            </w:pPr>
            <w:r>
              <w:t xml:space="preserve">3</w:t>
            </w:r>
          </w:p>
        </w:tc>
        <w:tc>
          <w:tcPr/>
          <w:p>
            <w:pPr>
              <w:pStyle w:val="Compact"/>
            </w:pPr>
            <w:r>
              <w:t xml:space="preserve">Documentos mínimos (redirecciones, headers)</w:t>
            </w:r>
          </w:p>
        </w:tc>
      </w:tr>
      <w:tr>
        <w:tc>
          <w:tcPr/>
          <w:p>
            <w:pPr>
              <w:pStyle w:val="Compact"/>
            </w:pPr>
            <w:r>
              <w:rPr>
                <w:b/>
                <w:bCs/>
              </w:rPr>
              <w:t xml:space="preserve">Máximo</w:t>
            </w:r>
          </w:p>
        </w:tc>
        <w:tc>
          <w:tcPr/>
          <w:p>
            <w:pPr>
              <w:pStyle w:val="Compact"/>
            </w:pPr>
            <w:r>
              <w:t xml:space="preserve">145,040</w:t>
            </w:r>
          </w:p>
        </w:tc>
        <w:tc>
          <w:tcPr/>
          <w:p>
            <w:pPr>
              <w:pStyle w:val="Compact"/>
            </w:pPr>
            <w:r>
              <w:t xml:space="preserve">Documentos técnicos extremadamente complejos</w:t>
            </w:r>
          </w:p>
        </w:tc>
      </w:tr>
      <w:tr>
        <w:tc>
          <w:tcPr/>
          <w:p>
            <w:pPr>
              <w:pStyle w:val="Compact"/>
            </w:pPr>
            <w:r>
              <w:rPr>
                <w:b/>
                <w:bCs/>
              </w:rPr>
              <w:t xml:space="preserve">Q25</w:t>
            </w:r>
          </w:p>
        </w:tc>
        <w:tc>
          <w:tcPr/>
          <w:p>
            <w:pPr>
              <w:pStyle w:val="Compact"/>
            </w:pPr>
            <w:r>
              <w:t xml:space="preserve">591.0</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2,308.0</w:t>
            </w:r>
          </w:p>
        </w:tc>
        <w:tc>
          <w:tcPr/>
          <w:p>
            <w:pPr>
              <w:pStyle w:val="Compact"/>
            </w:pPr>
            <w:r>
              <w:t xml:space="preserve">Documentos de implementación muy detallada</w:t>
            </w:r>
          </w:p>
        </w:tc>
      </w:tr>
      <w:tr>
        <w:tc>
          <w:tcPr/>
          <w:p>
            <w:pPr>
              <w:pStyle w:val="Compact"/>
            </w:pPr>
            <w:r>
              <w:rPr>
                <w:b/>
                <w:bCs/>
              </w:rPr>
              <w:t xml:space="preserve">Coeficiente de Variación</w:t>
            </w:r>
          </w:p>
        </w:tc>
        <w:tc>
          <w:tcPr/>
          <w:p>
            <w:pPr>
              <w:pStyle w:val="Compact"/>
            </w:pPr>
            <w:r>
              <w:t xml:space="preserve">200.7%</w:t>
            </w:r>
          </w:p>
        </w:tc>
        <w:tc>
          <w:tcPr/>
          <w:p>
            <w:pPr>
              <w:pStyle w:val="Compact"/>
            </w:pPr>
            <w:r>
              <w:t xml:space="preserve">Muy alta diversidad en longitud y complejidad</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4.2.2.3 Análisis de la Distribución</w:t>
      </w:r>
    </w:p>
    <w:p>
      <w:pPr>
        <w:pStyle w:val="FirstParagraph"/>
      </w:pPr>
      <w:r>
        <w:t xml:space="preserve">La distribución de longitudes basada en el corpus completo presenta características importantes:</w:t>
      </w:r>
    </w:p>
    <w:p>
      <w:pPr>
        <w:pStyle w:val="Compact"/>
        <w:numPr>
          <w:ilvl w:val="0"/>
          <w:numId w:val="1011"/>
        </w:numPr>
      </w:pPr>
      <w:r>
        <w:rPr>
          <w:b/>
          <w:bCs/>
        </w:rPr>
        <w:t xml:space="preserve">Sesgo positivo moderado:</w:t>
      </w:r>
      <w:r>
        <w:t xml:space="preserve"> </w:t>
      </w:r>
      <w:r>
        <w:t xml:space="preserve">La mediana (876) es mayor que la media (779.0)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38.3% indica variabilidad moderada y apropiada para embeddings vectoriales</w:t>
      </w:r>
    </w:p>
    <w:p>
      <w:pPr>
        <w:pStyle w:val="Compact"/>
        <w:numPr>
          <w:ilvl w:val="0"/>
          <w:numId w:val="1011"/>
        </w:numPr>
      </w:pPr>
      <w:r>
        <w:rPr>
          <w:b/>
          <w:bCs/>
        </w:rPr>
        <w:t xml:space="preserve">Rango dinámico:</w:t>
      </w:r>
      <w:r>
        <w:t xml:space="preserve"> </w:t>
      </w:r>
      <w:r>
        <w:t xml:space="preserve">Factor de 2,155x entre mínimo y máximo demuestra alta diversidad de contenido técnico</w:t>
      </w:r>
    </w:p>
    <w:p>
      <w:pPr>
        <w:pStyle w:val="Compact"/>
        <w:numPr>
          <w:ilvl w:val="0"/>
          <w:numId w:val="1011"/>
        </w:numPr>
      </w:pPr>
      <w:r>
        <w:rPr>
          <w:b/>
          <w:bCs/>
        </w:rPr>
        <w:t xml:space="preserve">Concentración óptima:</w:t>
      </w:r>
      <w:r>
        <w:t xml:space="preserve"> </w:t>
      </w:r>
      <w:r>
        <w:t xml:space="preserve">50% de los chunks están entre 633-1,004 tokens, rango ideal para modelos de embedding modernos</w:t>
      </w:r>
    </w:p>
    <w:p>
      <w:pPr>
        <w:pStyle w:val="Compact"/>
        <w:numPr>
          <w:ilvl w:val="0"/>
          <w:numId w:val="1011"/>
        </w:numPr>
      </w:pPr>
      <w:r>
        <w:rPr>
          <w:b/>
          <w:bCs/>
        </w:rPr>
        <w:t xml:space="preserve">Documentos extensos:</w:t>
      </w:r>
      <w:r>
        <w:t xml:space="preserve"> </w:t>
      </w:r>
      <w:r>
        <w:t xml:space="preserve">CV = 200.7% en documentos completos refleja la gran variabilidad desde tutoriales básicos hasta documentación técnica extremadamente detallada</w:t>
      </w:r>
    </w:p>
    <w:bookmarkEnd w:id="162"/>
    <w:bookmarkEnd w:id="163"/>
    <w:bookmarkStart w:id="167" w:name="distribución-temática-del-corpus"/>
    <w:p>
      <w:pPr>
        <w:pStyle w:val="Heading3"/>
      </w:pPr>
      <w:r>
        <w:rPr>
          <w:rStyle w:val="SectionNumber"/>
        </w:rPr>
        <w:t xml:space="preserve">6.2.3</w:t>
      </w:r>
      <w:r>
        <w:tab/>
      </w:r>
      <w:r>
        <w:t xml:space="preserve">4.2.3 Distribución Temática del Corpus</w:t>
      </w:r>
    </w:p>
    <w:bookmarkStart w:id="164" w:name="metodología-de-clasificación"/>
    <w:p>
      <w:pPr>
        <w:pStyle w:val="Heading4"/>
      </w:pPr>
      <w:r>
        <w:rPr>
          <w:rStyle w:val="SectionNumber"/>
        </w:rPr>
        <w:t xml:space="preserve">6.2.3.1</w:t>
      </w:r>
      <w:r>
        <w:tab/>
      </w:r>
      <w:r>
        <w:t xml:space="preserve">4.2.3.1 Metodología de Clasificación</w:t>
      </w:r>
    </w:p>
    <w:p>
      <w:pPr>
        <w:pStyle w:val="FirstParagraph"/>
      </w:pPr>
      <w:r>
        <w:t xml:space="preserve">La clasificación temática se realizó mediante análisis de contenido basado en keywords con sistema de puntuación ponderada. Se analizó una muestra estratificada de 10,000 chunks representativos y se extrapoló al corpus completo de 187,031 chunks utilizando factores de escalamiento validados.</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4.2.3.2 Resultados de la Distribución Temática</w:t>
      </w:r>
    </w:p>
    <w:tbl>
      <w:tblPr>
        <w:tblStyle w:val="Table"/>
        <w:tblW w:type="pct" w:w="5000"/>
        <w:tblLayout w:type="fixed"/>
        <w:tblLook w:firstRow="1" w:lastRow="0" w:firstColumn="0" w:lastColumn="0" w:noHBand="0" w:noVBand="0" w:val="0020"/>
      </w:tblPr>
      <w:tblGrid>
        <w:gridCol w:w="1476"/>
        <w:gridCol w:w="1073"/>
        <w:gridCol w:w="1610"/>
        <w:gridCol w:w="3758"/>
      </w:tblGrid>
      <w:tr>
        <w:trPr>
          <w:tblHeader w:val="on"/>
        </w:trPr>
        <w:tc>
          <w:tcPr/>
          <w:p>
            <w:pPr>
              <w:pStyle w:val="Compact"/>
            </w:pPr>
            <w:r>
              <w:t xml:space="preserve">Categoría</w:t>
            </w:r>
          </w:p>
        </w:tc>
        <w:tc>
          <w:tcPr/>
          <w:p>
            <w:pPr>
              <w:pStyle w:val="Compact"/>
            </w:pPr>
            <w:r>
              <w:t xml:space="preserve">Chunks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98,584</w:t>
            </w:r>
          </w:p>
        </w:tc>
        <w:tc>
          <w:tcPr/>
          <w:p>
            <w:pPr>
              <w:pStyle w:val="Compact"/>
            </w:pPr>
            <w:r>
              <w:rPr>
                <w:b/>
                <w:bCs/>
              </w:rPr>
              <w:t xml:space="preserve">53.6%</w:t>
            </w:r>
          </w:p>
        </w:tc>
        <w:tc>
          <w:tcPr/>
          <w:p>
            <w:pPr>
              <w:pStyle w:val="Compact"/>
            </w:pPr>
            <w:r>
              <w:t xml:space="preserve">APIs, SDKs, código, frameworks, DevOps</w:t>
            </w:r>
          </w:p>
        </w:tc>
      </w:tr>
      <w:tr>
        <w:tc>
          <w:tcPr/>
          <w:p>
            <w:pPr>
              <w:pStyle w:val="Compact"/>
            </w:pPr>
            <w:r>
              <w:rPr>
                <w:b/>
                <w:bCs/>
              </w:rPr>
              <w:t xml:space="preserve">Security</w:t>
            </w:r>
          </w:p>
        </w:tc>
        <w:tc>
          <w:tcPr/>
          <w:p>
            <w:pPr>
              <w:pStyle w:val="Compact"/>
            </w:pPr>
            <w:r>
              <w:t xml:space="preserve">52,667</w:t>
            </w:r>
          </w:p>
        </w:tc>
        <w:tc>
          <w:tcPr/>
          <w:p>
            <w:pPr>
              <w:pStyle w:val="Compact"/>
            </w:pPr>
            <w:r>
              <w:rPr>
                <w:b/>
                <w:bCs/>
              </w:rPr>
              <w:t xml:space="preserve">28.6%</w:t>
            </w:r>
          </w:p>
        </w:tc>
        <w:tc>
          <w:tcPr/>
          <w:p>
            <w:pPr>
              <w:pStyle w:val="Compact"/>
            </w:pPr>
            <w:r>
              <w:t xml:space="preserve">Auth, compliance, encryption, identity</w:t>
            </w:r>
          </w:p>
        </w:tc>
      </w:tr>
      <w:tr>
        <w:tc>
          <w:tcPr/>
          <w:p>
            <w:pPr>
              <w:pStyle w:val="Compact"/>
            </w:pPr>
            <w:r>
              <w:rPr>
                <w:b/>
                <w:bCs/>
              </w:rPr>
              <w:t xml:space="preserve">Operations</w:t>
            </w:r>
          </w:p>
        </w:tc>
        <w:tc>
          <w:tcPr/>
          <w:p>
            <w:pPr>
              <w:pStyle w:val="Compact"/>
            </w:pPr>
            <w:r>
              <w:t xml:space="preserve">21,882</w:t>
            </w:r>
          </w:p>
        </w:tc>
        <w:tc>
          <w:tcPr/>
          <w:p>
            <w:pPr>
              <w:pStyle w:val="Compact"/>
            </w:pPr>
            <w:r>
              <w:rPr>
                <w:b/>
                <w:bCs/>
              </w:rPr>
              <w:t xml:space="preserve">11.9%</w:t>
            </w:r>
          </w:p>
        </w:tc>
        <w:tc>
          <w:tcPr/>
          <w:p>
            <w:pPr>
              <w:pStyle w:val="Compact"/>
            </w:pPr>
            <w:r>
              <w:t xml:space="preserve">Deployment, monitoreo, troubleshooting</w:t>
            </w:r>
          </w:p>
        </w:tc>
      </w:tr>
      <w:tr>
        <w:tc>
          <w:tcPr/>
          <w:p>
            <w:pPr>
              <w:pStyle w:val="Compact"/>
            </w:pPr>
            <w:r>
              <w:rPr>
                <w:b/>
                <w:bCs/>
              </w:rPr>
              <w:t xml:space="preserve">Azure Services</w:t>
            </w:r>
          </w:p>
        </w:tc>
        <w:tc>
          <w:tcPr/>
          <w:p>
            <w:pPr>
              <w:pStyle w:val="Compact"/>
            </w:pPr>
            <w:r>
              <w:t xml:space="preserve">10,754</w:t>
            </w:r>
          </w:p>
        </w:tc>
        <w:tc>
          <w:tcPr/>
          <w:p>
            <w:pPr>
              <w:pStyle w:val="Compact"/>
            </w:pPr>
            <w:r>
              <w:rPr>
                <w:b/>
                <w:bCs/>
              </w:rPr>
              <w:t xml:space="preserve">5.8%</w:t>
            </w:r>
          </w:p>
        </w:tc>
        <w:tc>
          <w:tcPr/>
          <w:p>
            <w:pPr>
              <w:pStyle w:val="Compact"/>
            </w:pPr>
            <w:r>
              <w:t xml:space="preserve">Servicios específicos, configuraciones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4.2.3.3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acentuado de Development (53.6%):</w:t>
      </w:r>
      <w:r>
        <w:t xml:space="preserve"> </w:t>
      </w:r>
      <w:r>
        <w:t xml:space="preserve">Fuerte orientación técnica hacia desarrolladores y implementación de código</w:t>
      </w:r>
    </w:p>
    <w:p>
      <w:pPr>
        <w:pStyle w:val="Compact"/>
        <w:numPr>
          <w:ilvl w:val="0"/>
          <w:numId w:val="1012"/>
        </w:numPr>
      </w:pPr>
      <w:r>
        <w:rPr>
          <w:b/>
          <w:bCs/>
        </w:rPr>
        <w:t xml:space="preserve">Security muy significativo (28.6%):</w:t>
      </w:r>
      <w:r>
        <w:t xml:space="preserve"> </w:t>
      </w:r>
      <w:r>
        <w:t xml:space="preserve">Mayor énfasis en seguridad que en análisis previos, reflejando prioridades actuales</w:t>
      </w:r>
    </w:p>
    <w:p>
      <w:pPr>
        <w:pStyle w:val="Compact"/>
        <w:numPr>
          <w:ilvl w:val="0"/>
          <w:numId w:val="1012"/>
        </w:numPr>
      </w:pPr>
      <w:r>
        <w:rPr>
          <w:b/>
          <w:bCs/>
        </w:rPr>
        <w:t xml:space="preserve">Operations moderado (11.9%):</w:t>
      </w:r>
      <w:r>
        <w:t xml:space="preserve"> </w:t>
      </w:r>
      <w:r>
        <w:t xml:space="preserve">Foco en aspectos operacionales pero no dominante</w:t>
      </w:r>
    </w:p>
    <w:p>
      <w:pPr>
        <w:pStyle w:val="Compact"/>
        <w:numPr>
          <w:ilvl w:val="0"/>
          <w:numId w:val="1012"/>
        </w:numPr>
      </w:pPr>
      <w:r>
        <w:rPr>
          <w:b/>
          <w:bCs/>
        </w:rPr>
        <w:t xml:space="preserve">Azure Services específico (5.8%):</w:t>
      </w:r>
      <w:r>
        <w:t xml:space="preserve"> </w:t>
      </w:r>
      <w:r>
        <w:t xml:space="preserve">Documentación especializada en servicios particulares, más concentrada</w:t>
      </w:r>
    </w:p>
    <w:p>
      <w:pPr>
        <w:pStyle w:val="FirstParagraph"/>
      </w:pPr>
      <w:r>
        <w:rPr>
          <w:b/>
          <w:bCs/>
        </w:rPr>
        <w:t xml:space="preserve">Implicaciones para el Sistema RAG:</w:t>
      </w:r>
      <w:r>
        <w:t xml:space="preserve"> </w:t>
      </w:r>
      <w:r>
        <w:t xml:space="preserve">-</w:t>
      </w:r>
      <w:r>
        <w:t xml:space="preserve"> </w:t>
      </w:r>
      <w:r>
        <w:rPr>
          <w:b/>
          <w:bCs/>
        </w:rPr>
        <w:t xml:space="preserve">Alta especialización técnica:</w:t>
      </w:r>
      <w:r>
        <w:t xml:space="preserve"> </w:t>
      </w:r>
      <w:r>
        <w:t xml:space="preserve">El 53.6% en Development requiere embeddings muy especializados en código, APIs y frameworks</w:t>
      </w:r>
      <w:r>
        <w:t xml:space="preserve"> </w:t>
      </w:r>
      <w:r>
        <w:t xml:space="preserve">-</w:t>
      </w:r>
      <w:r>
        <w:t xml:space="preserve"> </w:t>
      </w:r>
      <w:r>
        <w:rPr>
          <w:b/>
          <w:bCs/>
        </w:rPr>
        <w:t xml:space="preserve">Enfoque de seguridad:</w:t>
      </w:r>
      <w:r>
        <w:t xml:space="preserve"> </w:t>
      </w:r>
      <w:r>
        <w:t xml:space="preserve">El 28.6% en Security demanda capacidades robustas en terminología de autenticación y compliance</w:t>
      </w:r>
      <w:r>
        <w:t xml:space="preserve"> </w:t>
      </w:r>
      <w:r>
        <w:t xml:space="preserve">-</w:t>
      </w:r>
      <w:r>
        <w:t xml:space="preserve"> </w:t>
      </w:r>
      <w:r>
        <w:rPr>
          <w:b/>
          <w:bCs/>
        </w:rPr>
        <w:t xml:space="preserve">Corpus técnico avanzado:</w:t>
      </w:r>
      <w:r>
        <w:t xml:space="preserve"> </w:t>
      </w:r>
      <w:r>
        <w:t xml:space="preserve">La distribución indica un corpus altamente especializado ideal para casos de uso de soporte técnico avanzado</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4.2.4 Análisis de Calidad del Corpus</w:t>
      </w:r>
    </w:p>
    <w:bookmarkStart w:id="168" w:name="cobertura-y-completitud"/>
    <w:p>
      <w:pPr>
        <w:pStyle w:val="Heading4"/>
      </w:pPr>
      <w:r>
        <w:rPr>
          <w:rStyle w:val="SectionNumber"/>
        </w:rPr>
        <w:t xml:space="preserve">6.2.4.1</w:t>
      </w:r>
      <w:r>
        <w:tab/>
      </w:r>
      <w:r>
        <w:t xml:space="preserve">4.2.4.1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4.2.4.2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4.2.4.3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4.3 Características del Dataset de Preguntas</w:t>
      </w:r>
    </w:p>
    <w:bookmarkStart w:id="173" w:name="composición-del-dataset-de-preguntas"/>
    <w:p>
      <w:pPr>
        <w:pStyle w:val="Heading3"/>
      </w:pPr>
      <w:r>
        <w:rPr>
          <w:rStyle w:val="SectionNumber"/>
        </w:rPr>
        <w:t xml:space="preserve">6.3.1</w:t>
      </w:r>
      <w:r>
        <w:tab/>
      </w:r>
      <w:r>
        <w:t xml:space="preserve">4.3.1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4.3.2 Análisis de Longitud de Preguntas</w:t>
      </w:r>
    </w:p>
    <w:bookmarkStart w:id="174" w:name="estadísticas-calculadas-vs-declaradas"/>
    <w:p>
      <w:pPr>
        <w:pStyle w:val="Heading4"/>
      </w:pPr>
      <w:r>
        <w:rPr>
          <w:rStyle w:val="SectionNumber"/>
        </w:rPr>
        <w:t xml:space="preserve">6.3.2.1</w:t>
      </w:r>
      <w:r>
        <w:tab/>
      </w:r>
      <w:r>
        <w:t xml:space="preserve">4.3.2.1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4.3.2.2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4.3.3 Distribución de Tipos de Preguntas</w:t>
      </w:r>
    </w:p>
    <w:bookmarkStart w:id="177" w:name="análisis-de-patrones-de-consulta"/>
    <w:p>
      <w:pPr>
        <w:pStyle w:val="Heading4"/>
      </w:pPr>
      <w:r>
        <w:rPr>
          <w:rStyle w:val="SectionNumber"/>
        </w:rPr>
        <w:t xml:space="preserve">6.3.3.1</w:t>
      </w:r>
      <w:r>
        <w:tab/>
      </w:r>
      <w:r>
        <w:t xml:space="preserve">4.3.3.1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4.3.3.2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4.3.4 Análisis de Ground Truth</w:t>
      </w:r>
    </w:p>
    <w:bookmarkStart w:id="180" w:name="cobertura-de-ground-truth"/>
    <w:p>
      <w:pPr>
        <w:pStyle w:val="Heading4"/>
      </w:pPr>
      <w:r>
        <w:rPr>
          <w:rStyle w:val="SectionNumber"/>
        </w:rPr>
        <w:t xml:space="preserve">6.3.4.1</w:t>
      </w:r>
      <w:r>
        <w:tab/>
      </w:r>
      <w:r>
        <w:t xml:space="preserve">4.3.4.1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4.3.4.2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4.3.4.3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4.4 Análisis de Correspondencia entre Datos</w:t>
      </w:r>
    </w:p>
    <w:bookmarkStart w:id="187" w:name="mapping-preguntas-documentos"/>
    <w:p>
      <w:pPr>
        <w:pStyle w:val="Heading3"/>
      </w:pPr>
      <w:r>
        <w:rPr>
          <w:rStyle w:val="SectionNumber"/>
        </w:rPr>
        <w:t xml:space="preserve">6.4.1</w:t>
      </w:r>
      <w:r>
        <w:tab/>
      </w:r>
      <w:r>
        <w:t xml:space="preserve">4.4.1 Mapping Preguntas-Documentos</w:t>
      </w:r>
    </w:p>
    <w:bookmarkStart w:id="185" w:name="análisis-de-cobertura"/>
    <w:p>
      <w:pPr>
        <w:pStyle w:val="Heading4"/>
      </w:pPr>
      <w:r>
        <w:rPr>
          <w:rStyle w:val="SectionNumber"/>
        </w:rPr>
        <w:t xml:space="preserve">6.4.1.1</w:t>
      </w:r>
      <w:r>
        <w:tab/>
      </w:r>
      <w:r>
        <w:t xml:space="preserve">4.4.1.1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4.4.1.2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4.4.2 Distribución Temática de Ground Truth</w:t>
      </w:r>
    </w:p>
    <w:bookmarkStart w:id="188" w:name="alineación-temática"/>
    <w:p>
      <w:pPr>
        <w:pStyle w:val="Heading4"/>
      </w:pPr>
      <w:r>
        <w:rPr>
          <w:rStyle w:val="SectionNumber"/>
        </w:rPr>
        <w:t xml:space="preserve">6.4.2.1</w:t>
      </w:r>
      <w:r>
        <w:tab/>
      </w:r>
      <w:r>
        <w:t xml:space="preserve">4.4.2.1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4.4.3 Calidad de la Correspondencia</w:t>
      </w:r>
    </w:p>
    <w:bookmarkStart w:id="190" w:name="relevancia-de-las-correspondencias"/>
    <w:p>
      <w:pPr>
        <w:pStyle w:val="Heading4"/>
      </w:pPr>
      <w:r>
        <w:rPr>
          <w:rStyle w:val="SectionNumber"/>
        </w:rPr>
        <w:t xml:space="preserve">6.4.3.1</w:t>
      </w:r>
      <w:r>
        <w:tab/>
      </w:r>
      <w:r>
        <w:t xml:space="preserve">4.4.3.1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4.4.3.2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4.5 Hallazgos Principales del EDA</w:t>
      </w:r>
    </w:p>
    <w:bookmarkStart w:id="196" w:name="características-estructurales"/>
    <w:p>
      <w:pPr>
        <w:pStyle w:val="Heading3"/>
      </w:pPr>
      <w:r>
        <w:rPr>
          <w:rStyle w:val="SectionNumber"/>
        </w:rPr>
        <w:t xml:space="preserve">6.5.1</w:t>
      </w:r>
      <w:r>
        <w:tab/>
      </w:r>
      <w:r>
        <w:t xml:space="preserve">4.5.1 Características Estructurales</w:t>
      </w:r>
    </w:p>
    <w:bookmarkStart w:id="194" w:name="corpus-de-documentación"/>
    <w:p>
      <w:pPr>
        <w:pStyle w:val="Heading4"/>
      </w:pPr>
      <w:r>
        <w:rPr>
          <w:rStyle w:val="SectionNumber"/>
        </w:rPr>
        <w:t xml:space="preserve">6.5.1.1</w:t>
      </w:r>
      <w:r>
        <w:tab/>
      </w:r>
      <w:r>
        <w:t xml:space="preserve">4.5.1.1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4.5.1.2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4.5.2 Implicaciones para el Sistema RAG</w:t>
      </w:r>
    </w:p>
    <w:bookmarkStart w:id="197" w:name="oportunidades-identificadas"/>
    <w:p>
      <w:pPr>
        <w:pStyle w:val="Heading4"/>
      </w:pPr>
      <w:r>
        <w:rPr>
          <w:rStyle w:val="SectionNumber"/>
        </w:rPr>
        <w:t xml:space="preserve">6.5.2.1</w:t>
      </w:r>
      <w:r>
        <w:tab/>
      </w:r>
      <w:r>
        <w:t xml:space="preserve">4.5.2.1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4.5.2.2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4.5.3 Benchmarking del Corpus</w:t>
      </w:r>
    </w:p>
    <w:bookmarkStart w:id="200" w:name="comparación-con-corpus-estándar"/>
    <w:p>
      <w:pPr>
        <w:pStyle w:val="Heading4"/>
      </w:pPr>
      <w:r>
        <w:rPr>
          <w:rStyle w:val="SectionNumber"/>
        </w:rPr>
        <w:t xml:space="preserve">6.5.3.1</w:t>
      </w:r>
      <w:r>
        <w:tab/>
      </w:r>
      <w:r>
        <w:t xml:space="preserve">4.5.3.1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4.5.3.2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4.6 Recomendaciones para Mejoras</w:t>
      </w:r>
    </w:p>
    <w:bookmarkStart w:id="206" w:name="mejoras-al-corpus-de-documentación"/>
    <w:p>
      <w:pPr>
        <w:pStyle w:val="Heading3"/>
      </w:pPr>
      <w:r>
        <w:rPr>
          <w:rStyle w:val="SectionNumber"/>
        </w:rPr>
        <w:t xml:space="preserve">6.6.1</w:t>
      </w:r>
      <w:r>
        <w:tab/>
      </w:r>
      <w:r>
        <w:t xml:space="preserve">4.6.1 Mejoras al Corpus de Documentación</w:t>
      </w:r>
    </w:p>
    <w:bookmarkStart w:id="204" w:name="expansión-de-contenido"/>
    <w:p>
      <w:pPr>
        <w:pStyle w:val="Heading4"/>
      </w:pPr>
      <w:r>
        <w:rPr>
          <w:rStyle w:val="SectionNumber"/>
        </w:rPr>
        <w:t xml:space="preserve">6.6.1.1</w:t>
      </w:r>
      <w:r>
        <w:tab/>
      </w:r>
      <w:r>
        <w:t xml:space="preserve">4.6.1.1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4.6.1.2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4.6.2 Mejoras al Dataset de Preguntas</w:t>
      </w:r>
    </w:p>
    <w:bookmarkStart w:id="207" w:name="expansión-de-ground-truth"/>
    <w:p>
      <w:pPr>
        <w:pStyle w:val="Heading4"/>
      </w:pPr>
      <w:r>
        <w:rPr>
          <w:rStyle w:val="SectionNumber"/>
        </w:rPr>
        <w:t xml:space="preserve">6.6.2.1</w:t>
      </w:r>
      <w:r>
        <w:tab/>
      </w:r>
      <w:r>
        <w:t xml:space="preserve">4.6.2.1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4.6.2.2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4.6.3 Mejoras Metodológicas</w:t>
      </w:r>
    </w:p>
    <w:bookmarkStart w:id="210" w:name="análisis-continuo"/>
    <w:p>
      <w:pPr>
        <w:pStyle w:val="Heading4"/>
      </w:pPr>
      <w:r>
        <w:rPr>
          <w:rStyle w:val="SectionNumber"/>
        </w:rPr>
        <w:t xml:space="preserve">6.6.3.1</w:t>
      </w:r>
      <w:r>
        <w:tab/>
      </w:r>
      <w:r>
        <w:t xml:space="preserve">4.6.3.1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4.6.3.2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4.7 Conclusiones del EDA</w:t>
      </w:r>
    </w:p>
    <w:bookmarkStart w:id="214" w:name="síntesis-de-hallazgos"/>
    <w:p>
      <w:pPr>
        <w:pStyle w:val="Heading3"/>
      </w:pPr>
      <w:r>
        <w:rPr>
          <w:rStyle w:val="SectionNumber"/>
        </w:rPr>
        <w:t xml:space="preserve">6.7.1</w:t>
      </w:r>
      <w:r>
        <w:tab/>
      </w:r>
      <w:r>
        <w:t xml:space="preserve">4.7.1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4.7.2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4.7.3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4.8 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2025-08-02T23:59:30Z</dcterms:created>
  <dcterms:modified xsi:type="dcterms:W3CDTF">2025-08-02T23:59:30Z</dcterms:modified>
</cp:coreProperties>
</file>

<file path=docProps/custom.xml><?xml version="1.0" encoding="utf-8"?>
<Properties xmlns="http://schemas.openxmlformats.org/officeDocument/2006/custom-properties" xmlns:vt="http://schemas.openxmlformats.org/officeDocument/2006/docPropsVTypes"/>
</file>