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23.png" ContentType="image/png"/>
  <Override PartName="/word/media/rId31.png" ContentType="image/png"/>
  <Override PartName="/word/media/rId27.png" ContentType="image/png"/>
  <Override PartName="/word/media/rId39.png" ContentType="image/png"/>
  <Override PartName="/word/media/rId15.png" ContentType="image/png"/>
  <Override PartName="/word/media/rId4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resultados-y-análisis"/>
    <w:p>
      <w:pPr>
        <w:pStyle w:val="Heading1"/>
      </w:pPr>
      <w:r>
        <w:t xml:space="preserve">7. RESULTADOS Y ANÁLISIS</w:t>
      </w:r>
    </w:p>
    <w:bookmarkStart w:id="9" w:name="introducción"/>
    <w:p>
      <w:pPr>
        <w:pStyle w:val="Heading2"/>
      </w:pPr>
      <w:r>
        <w:t xml:space="preserve">7.1 Introducción</w:t>
      </w:r>
    </w:p>
    <w:p>
      <w:pPr>
        <w:pStyle w:val="FirstParagraph"/>
      </w:pPr>
      <w:r>
        <w:t xml:space="preserve">Este capítulo presenta los resultados experimentales del sistema RAG desarrollado, organizando el análisis en tres etapas secuenciales que permiten evaluar el impacto progresivo de cada componente del sistema: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Etapa 1 - Recuperación Vectorial</w:t>
      </w:r>
      <w:r>
        <w:t xml:space="preserve">: Rendimiento de los cuatro modelos de embeddings (Ada, MPNet, E5-Large, MiniLM) utilizando únicamente búsqueda por similitud coseno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Etapa 2 - Reranking Neural</w:t>
      </w:r>
      <w:r>
        <w:t xml:space="preserve">: Rendimiento de los mismos modelos tras aplicar CrossEncoder para reordenar los resultados iniciales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Etapa 3 - Análisis Comparativo</w:t>
      </w:r>
      <w:r>
        <w:t xml:space="preserve">: Cuantificación del impacto del reranking mediante comparación directa de las dos etapas anteriores</w:t>
      </w:r>
    </w:p>
    <w:p>
      <w:pPr>
        <w:pStyle w:val="FirstParagraph"/>
      </w:pPr>
      <w:r>
        <w:t xml:space="preserve">La evaluación utilizó</w:t>
      </w:r>
      <w:r>
        <w:t xml:space="preserve"> </w:t>
      </w:r>
      <w:r>
        <w:rPr>
          <w:b/>
          <w:bCs/>
        </w:rPr>
        <w:t xml:space="preserve">2,067 pares pregunta-documento validados</w:t>
      </w:r>
      <w:r>
        <w:t xml:space="preserve"> </w:t>
      </w:r>
      <w:r>
        <w:t xml:space="preserve">como ground truth, calculando métricas de recuperación (Precision, Recall, F1, NDCG, MAP, MRR) para valores de k desde 1 hasta 15. Este diseño permite identificar qué configuración arquitectónica ofrece el mejor rendimiento para cada escenario de implementación.</w:t>
      </w:r>
    </w:p>
    <w:bookmarkEnd w:id="9"/>
    <w:bookmarkStart w:id="13" w:name="configuración-experimental"/>
    <w:p>
      <w:pPr>
        <w:pStyle w:val="Heading2"/>
      </w:pPr>
      <w:r>
        <w:t xml:space="preserve">7.2 Configuración Experimental</w:t>
      </w:r>
    </w:p>
    <w:bookmarkStart w:id="10" w:name="parámetros-de-evaluación"/>
    <w:p>
      <w:pPr>
        <w:pStyle w:val="Heading3"/>
      </w:pPr>
      <w:r>
        <w:t xml:space="preserve">7.2.1 Parámetros de Evaluación</w:t>
      </w:r>
    </w:p>
    <w:p>
      <w:pPr>
        <w:pStyle w:val="FirstParagraph"/>
      </w:pPr>
      <w:r>
        <w:t xml:space="preserve">La evaluación experimental implementó un diseño factorial 4×2 comparando cuatro modelos de embedding bajo dos estrategias de procesamiento:</w:t>
      </w:r>
    </w:p>
    <w:p>
      <w:pPr>
        <w:pStyle w:val="BodyText"/>
      </w:pPr>
      <w:r>
        <w:rPr>
          <w:b/>
          <w:bCs/>
        </w:rPr>
        <w:t xml:space="preserve">Datos de Evaluación:</w:t>
      </w:r>
      <w:r>
        <w:t xml:space="preserve"> </w:t>
      </w:r>
      <w:r>
        <w:t xml:space="preserve">- Ground truth: 2,067 pares pregunta-documento validados</w:t>
      </w:r>
      <w:r>
        <w:t xml:space="preserve"> </w:t>
      </w:r>
      <w:r>
        <w:t xml:space="preserve">- Documentos indexados: 187,031 chunks de documentación Azure</w:t>
      </w:r>
      <w:r>
        <w:t xml:space="preserve"> </w:t>
      </w:r>
      <w:r>
        <w:t xml:space="preserve">- Modelos evaluados: 4 (Ada, MPNet, E5-Large, MiniLM)</w:t>
      </w:r>
    </w:p>
    <w:p>
      <w:pPr>
        <w:pStyle w:val="BodyText"/>
      </w:pPr>
      <w:r>
        <w:rPr>
          <w:b/>
          <w:bCs/>
        </w:rPr>
        <w:t xml:space="preserve">Parámetros Técnicos:</w:t>
      </w:r>
      <w:r>
        <w:t xml:space="preserve"> </w:t>
      </w:r>
      <w:r>
        <w:t xml:space="preserve">- Método de reranking: CrossEncoder ms-marco-MiniLM-L-6-v2 con normalización Min-Max</w:t>
      </w:r>
      <w:r>
        <w:t xml:space="preserve"> </w:t>
      </w:r>
      <w:r>
        <w:t xml:space="preserve">- Top-k evaluado: 1-15 documentos por consulta</w:t>
      </w:r>
      <w:r>
        <w:t xml:space="preserve"> </w:t>
      </w:r>
      <w:r>
        <w:t xml:space="preserve">- Métricas calculadas: Precision@k, Recall@k, F1@k, NDCG@k, MAP@k, MRR</w:t>
      </w:r>
      <w:r>
        <w:t xml:space="preserve"> </w:t>
      </w:r>
      <w:r>
        <w:t xml:space="preserve">- Métrica de similitud: Similitud coseno en espacio de embeddings</w:t>
      </w:r>
      <w:r>
        <w:t xml:space="preserve"> </w:t>
      </w:r>
      <w:r>
        <w:t xml:space="preserve">- Base de datos vectorial: ChromaDB 0.5.23</w:t>
      </w:r>
    </w:p>
    <w:p>
      <w:pPr>
        <w:pStyle w:val="BodyText"/>
      </w:pPr>
      <w:r>
        <w:rPr>
          <w:b/>
          <w:bCs/>
        </w:rPr>
        <w:t xml:space="preserve">Entorno Computacional:</w:t>
      </w:r>
      <w:r>
        <w:t xml:space="preserve"> </w:t>
      </w:r>
      <w:r>
        <w:t xml:space="preserve">- Plataforma: Google Colab con GPU Tesla T4</w:t>
      </w:r>
      <w:r>
        <w:t xml:space="preserve"> </w:t>
      </w:r>
      <w:r>
        <w:t xml:space="preserve">- Ejecución: Octubre 2025</w:t>
      </w:r>
    </w:p>
    <w:bookmarkEnd w:id="10"/>
    <w:bookmarkStart w:id="11" w:name="modelos-de-embedding-evaluados"/>
    <w:p>
      <w:pPr>
        <w:pStyle w:val="Heading3"/>
      </w:pPr>
      <w:r>
        <w:t xml:space="preserve">7.2.2 Modelos de Embedding Evaluados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8"/>
        <w:gridCol w:w="2864"/>
        <w:gridCol w:w="1011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Dimensionalidad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Especialización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 (text-embedding-ada-002)</w:t>
            </w:r>
          </w:p>
        </w:tc>
        <w:tc>
          <w:tcPr/>
          <w:p>
            <w:pPr>
              <w:pStyle w:val="Compact"/>
            </w:pPr>
            <w:r>
              <w:t xml:space="preserve">1,536</w:t>
            </w:r>
          </w:p>
        </w:tc>
        <w:tc>
          <w:tcPr/>
          <w:p>
            <w:pPr>
              <w:pStyle w:val="Compact"/>
            </w:pPr>
            <w:r>
              <w:t xml:space="preserve">Propietario (OpenAI)</w:t>
            </w:r>
          </w:p>
        </w:tc>
        <w:tc>
          <w:tcPr/>
          <w:p>
            <w:pPr>
              <w:pStyle w:val="Compact"/>
            </w:pPr>
            <w:r>
              <w:t xml:space="preserve">Propósito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 (multi-qa-mpnet-base-dot-v1)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Open-source</w:t>
            </w:r>
          </w:p>
        </w:tc>
        <w:tc>
          <w:tcPr/>
          <w:p>
            <w:pPr>
              <w:pStyle w:val="Compact"/>
            </w:pPr>
            <w:r>
              <w:t xml:space="preserve">Pregunta-respuesta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 (intfloat/e5-large-v2)</w:t>
            </w:r>
          </w:p>
        </w:tc>
        <w:tc>
          <w:tcPr/>
          <w:p>
            <w:pPr>
              <w:pStyle w:val="Compact"/>
            </w:pPr>
            <w:r>
              <w:t xml:space="preserve">1,024</w:t>
            </w:r>
          </w:p>
        </w:tc>
        <w:tc>
          <w:tcPr/>
          <w:p>
            <w:pPr>
              <w:pStyle w:val="Compact"/>
            </w:pPr>
            <w:r>
              <w:t xml:space="preserve">Open-source</w:t>
            </w:r>
          </w:p>
        </w:tc>
        <w:tc>
          <w:tcPr/>
          <w:p>
            <w:pPr>
              <w:pStyle w:val="Compact"/>
            </w:pPr>
            <w:r>
              <w:t xml:space="preserve">Propósito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 (all-MiniLM-L6-v2)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Open-source</w:t>
            </w:r>
          </w:p>
        </w:tc>
        <w:tc>
          <w:tcPr/>
          <w:p>
            <w:pPr>
              <w:pStyle w:val="Compact"/>
            </w:pPr>
            <w:r>
              <w:t xml:space="preserve">Compacto/eficiente</w:t>
            </w:r>
          </w:p>
        </w:tc>
      </w:tr>
    </w:tbl>
    <w:bookmarkEnd w:id="11"/>
    <w:bookmarkStart w:id="12" w:name="estrategias-de-procesamiento"/>
    <w:p>
      <w:pPr>
        <w:pStyle w:val="Heading3"/>
      </w:pPr>
      <w:r>
        <w:t xml:space="preserve">7.2.3 Estrategias de Procesamiento</w:t>
      </w:r>
    </w:p>
    <w:p>
      <w:pPr>
        <w:pStyle w:val="FirstParagraph"/>
      </w:pPr>
      <w:r>
        <w:rPr>
          <w:b/>
          <w:bCs/>
        </w:rPr>
        <w:t xml:space="preserve">Etapa 1 - Recuperación Vectorial Directa:</w:t>
      </w:r>
      <w:r>
        <w:t xml:space="preserve"> </w:t>
      </w:r>
      <w:r>
        <w:t xml:space="preserve">- Búsqueda por similitud coseno en ChromaDB</w:t>
      </w:r>
      <w:r>
        <w:t xml:space="preserve"> </w:t>
      </w:r>
      <w:r>
        <w:t xml:space="preserve">- Ordenamiento directo por score de similitud</w:t>
      </w:r>
      <w:r>
        <w:t xml:space="preserve"> </w:t>
      </w:r>
      <w:r>
        <w:t xml:space="preserve">- Retorno de top-k documentos sin procesamiento adicional</w:t>
      </w:r>
    </w:p>
    <w:p>
      <w:pPr>
        <w:pStyle w:val="BodyText"/>
      </w:pPr>
      <w:r>
        <w:rPr>
          <w:b/>
          <w:bCs/>
        </w:rPr>
        <w:t xml:space="preserve">Etapa 2 - Recuperación con Reranking Neural:</w:t>
      </w:r>
      <w:r>
        <w:t xml:space="preserve"> </w:t>
      </w:r>
      <w:r>
        <w:t xml:space="preserve">- Búsqueda inicial por similitud coseno (top-15)</w:t>
      </w:r>
      <w:r>
        <w:t xml:space="preserve"> </w:t>
      </w:r>
      <w:r>
        <w:t xml:space="preserve">- Reranking con CrossEncoder ms-marco-MiniLM-L-6-v2</w:t>
      </w:r>
      <w:r>
        <w:t xml:space="preserve"> </w:t>
      </w:r>
      <w:r>
        <w:t xml:space="preserve">- Normalización Min-Max de scores</w:t>
      </w:r>
      <w:r>
        <w:t xml:space="preserve"> </w:t>
      </w:r>
      <w:r>
        <w:t xml:space="preserve">- Reordenamiento y selección de top-k final</w:t>
      </w:r>
    </w:p>
    <w:bookmarkEnd w:id="12"/>
    <w:bookmarkEnd w:id="13"/>
    <w:bookmarkStart w:id="37" w:name="etapa-1-resultados-antes-del-reranking"/>
    <w:p>
      <w:pPr>
        <w:pStyle w:val="Heading2"/>
      </w:pPr>
      <w:r>
        <w:t xml:space="preserve">7.3 Etapa 1: Resultados Antes del Reranking</w:t>
      </w:r>
    </w:p>
    <w:p>
      <w:pPr>
        <w:pStyle w:val="FirstParagraph"/>
      </w:pPr>
      <w:r>
        <w:t xml:space="preserve">Esta sección presenta el rendimiento de los cuatro modelos de embeddings utilizando únicamente búsqueda vectorial por similitud coseno, estableciendo la línea base de rendimiento antes de aplicar cualquier procesamiento adicional.</w:t>
      </w:r>
    </w:p>
    <w:bookmarkStart w:id="14" w:name="rendimiento-general-por-modelo"/>
    <w:p>
      <w:pPr>
        <w:pStyle w:val="Heading3"/>
      </w:pPr>
      <w:r>
        <w:t xml:space="preserve">7.3.1 Rendimiento General por Modelo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Tabla 7.1</w:t>
      </w:r>
      <w:r>
        <w:t xml:space="preserve"> </w:t>
      </w:r>
      <w:r>
        <w:t xml:space="preserve">presenta las métricas principales para los cuatro modelos en k=5, el valor más representativo para sistemas de recuperación interactivos donde el usuario típicamente examina los primeros 5 resultados.</w:t>
      </w:r>
    </w:p>
    <w:p>
      <w:pPr>
        <w:pStyle w:val="BodyText"/>
      </w:pPr>
      <w:r>
        <w:rPr>
          <w:b/>
          <w:bCs/>
        </w:rPr>
        <w:t xml:space="preserve">Tabla 7.1: Rendimiento de Todos los Modelos Antes del Reranking (k=5)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NDCG@5</w:t>
            </w:r>
          </w:p>
        </w:tc>
        <w:tc>
          <w:tcPr/>
          <w:p>
            <w:pPr>
              <w:pStyle w:val="Compact"/>
            </w:pPr>
            <w:r>
              <w:t xml:space="preserve">MAP@5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0.087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Observaciones Clave: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Superioridad de Ada</w:t>
      </w:r>
      <w:r>
        <w:t xml:space="preserve">: Con Precision@5=0.062, Ada supera a MPNet (0.052) en 19.2%, estableciendo el mejor rendimiento absoluto entre todos los modelos evaluados.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Rendimiento de Modelos Open-Source</w:t>
      </w:r>
      <w:r>
        <w:t xml:space="preserve">: MPNet alcanza el mejor rendimiento entre alternativas open-source, seguido por E5-Large (0.045) y MiniLM (0.041).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Trade-off Dimensionalidad-Rendimiento</w:t>
      </w:r>
      <w:r>
        <w:t xml:space="preserve">: No hay correlación perfecta entre dimensionalidad y rendimiento. MPNet (768 dim) supera a E5-Large (1,024 dim), sugiriendo que la especialización del modelo (Q&amp;A para MPNet) compensa la menor capacidad dimensional.</w:t>
      </w:r>
    </w:p>
    <w:bookmarkEnd w:id="14"/>
    <w:bookmarkStart w:id="35" w:name="análisis-por-métrica"/>
    <w:p>
      <w:pPr>
        <w:pStyle w:val="Heading3"/>
      </w:pPr>
      <w:r>
        <w:t xml:space="preserve">7.3.2 Análisis por Métrica</w:t>
      </w:r>
    </w:p>
    <w:p>
      <w:pPr>
        <w:pStyle w:val="FirstParagraph"/>
      </w:pPr>
      <w:r>
        <w:t xml:space="preserve">Las siguientes subsecciones analizan cada familia de métricas en detalle, mostrando la evolución del rendimiento con valores crecientes de k.</w:t>
      </w:r>
    </w:p>
    <w:bookmarkStart w:id="18" w:name="precisionk"/>
    <w:p>
      <w:pPr>
        <w:pStyle w:val="Heading4"/>
      </w:pPr>
      <w:r>
        <w:t xml:space="preserve">7.3.2.1 Precision@k</w:t>
      </w:r>
    </w:p>
    <w:p>
      <w:pPr>
        <w:pStyle w:val="FirstParagraph"/>
      </w:pPr>
      <w:r>
        <w:t xml:space="preserve">La Precision@k mide la proporción de documentos relevantes entre los k documentos recuperados. La</w:t>
      </w:r>
      <w:r>
        <w:t xml:space="preserve"> </w:t>
      </w:r>
      <w:r>
        <w:rPr>
          <w:b/>
          <w:bCs/>
        </w:rPr>
        <w:t xml:space="preserve">Tabla 7.2</w:t>
      </w:r>
      <w:r>
        <w:t xml:space="preserve"> </w:t>
      </w:r>
      <w:r>
        <w:t xml:space="preserve">muestra la evolución de la precisión para k={3,5,10,15}.</w:t>
      </w:r>
    </w:p>
    <w:p>
      <w:pPr>
        <w:pStyle w:val="BodyText"/>
      </w:pPr>
      <w:r>
        <w:rPr>
          <w:b/>
          <w:bCs/>
        </w:rPr>
        <w:t xml:space="preserve">Tabla 7.2: Precision@k para Todos los Modelos (Antes del Reranking)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k=5</w:t>
            </w:r>
          </w:p>
        </w:tc>
        <w:tc>
          <w:tcPr/>
          <w:p>
            <w:pPr>
              <w:pStyle w:val="Compact"/>
            </w:pPr>
            <w:r>
              <w:t xml:space="preserve">k=10</w:t>
            </w:r>
          </w:p>
        </w:tc>
        <w:tc>
          <w:tcPr/>
          <w:p>
            <w:pPr>
              <w:pStyle w:val="Compact"/>
            </w:pPr>
            <w:r>
              <w:t xml:space="preserve">k=15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Figura 7.1</w:t>
      </w:r>
      <w:r>
        <w:t xml:space="preserve"> </w:t>
      </w:r>
      <w:r>
        <w:t xml:space="preserve">presenta la evolución completa de Precision@k para k=1 hasta k=15.</w:t>
      </w:r>
    </w:p>
    <w:p>
      <w:pPr>
        <w:pStyle w:val="CaptionedFigure"/>
      </w:pPr>
      <w:r>
        <w:drawing>
          <wp:inline>
            <wp:extent cx="5334000" cy="3178848"/>
            <wp:effectExtent b="0" l="0" r="0" t="0"/>
            <wp:docPr descr="Figura 7.1: Precision@k para todos los modelos antes del reranking" title="" id="16" name="Picture"/>
            <a:graphic>
              <a:graphicData uri="http://schemas.openxmlformats.org/drawingml/2006/picture">
                <pic:pic>
                  <pic:nvPicPr>
                    <pic:cNvPr descr="./capitulo_7_analisis/charts/precision_por_k_befo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7.1: Precision@k para todos los modelos antes del reranking</w:t>
      </w:r>
    </w:p>
    <w:p>
      <w:pPr>
        <w:pStyle w:val="BodyText"/>
      </w:pPr>
      <w:r>
        <w:rPr>
          <w:b/>
          <w:bCs/>
        </w:rPr>
        <w:t xml:space="preserve">Observaciones</w:t>
      </w:r>
      <w:r>
        <w:t xml:space="preserve">:</w:t>
      </w:r>
      <w:r>
        <w:t xml:space="preserve"> </w:t>
      </w:r>
      <w:r>
        <w:t xml:space="preserve">- Todas las curvas muestran decaimiento monotónico con k creciente (comportamiento esperado)</w:t>
      </w:r>
      <w:r>
        <w:t xml:space="preserve"> </w:t>
      </w:r>
      <w:r>
        <w:t xml:space="preserve">- Ada mantiene superioridad consistente en todo el rango de k evaluado</w:t>
      </w:r>
      <w:r>
        <w:t xml:space="preserve"> </w:t>
      </w:r>
      <w:r>
        <w:t xml:space="preserve">- La brecha entre modelos se reduce con k creciente pero persiste proporcionalmente</w:t>
      </w:r>
    </w:p>
    <w:bookmarkEnd w:id="18"/>
    <w:bookmarkStart w:id="22" w:name="recallk"/>
    <w:p>
      <w:pPr>
        <w:pStyle w:val="Heading4"/>
      </w:pPr>
      <w:r>
        <w:t xml:space="preserve">7.3.2.2 Recall@k</w:t>
      </w:r>
    </w:p>
    <w:p>
      <w:pPr>
        <w:pStyle w:val="FirstParagraph"/>
      </w:pPr>
      <w:r>
        <w:t xml:space="preserve">El Recall@k mide la proporción de todos los documentos relevantes que fueron recuperados dentro del top-k. La</w:t>
      </w:r>
      <w:r>
        <w:t xml:space="preserve"> </w:t>
      </w:r>
      <w:r>
        <w:rPr>
          <w:b/>
          <w:bCs/>
        </w:rPr>
        <w:t xml:space="preserve">Tabla 7.3</w:t>
      </w:r>
      <w:r>
        <w:t xml:space="preserve"> </w:t>
      </w:r>
      <w:r>
        <w:t xml:space="preserve">muestra la evolución del recall.</w:t>
      </w:r>
    </w:p>
    <w:p>
      <w:pPr>
        <w:pStyle w:val="BodyText"/>
      </w:pPr>
      <w:r>
        <w:rPr>
          <w:b/>
          <w:bCs/>
        </w:rPr>
        <w:t xml:space="preserve">Tabla 7.3: Recall@k para Todos los Modelos (Antes del Reranking)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k=5</w:t>
            </w:r>
          </w:p>
        </w:tc>
        <w:tc>
          <w:tcPr/>
          <w:p>
            <w:pPr>
              <w:pStyle w:val="Compact"/>
            </w:pPr>
            <w:r>
              <w:t xml:space="preserve">k=10</w:t>
            </w:r>
          </w:p>
        </w:tc>
        <w:tc>
          <w:tcPr/>
          <w:p>
            <w:pPr>
              <w:pStyle w:val="Compact"/>
            </w:pPr>
            <w:r>
              <w:t xml:space="preserve">k=15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Figura 7.2</w:t>
      </w:r>
      <w:r>
        <w:t xml:space="preserve"> </w:t>
      </w:r>
      <w:r>
        <w:t xml:space="preserve">presenta la evolución completa de Recall@k.</w:t>
      </w:r>
    </w:p>
    <w:p>
      <w:pPr>
        <w:pStyle w:val="CaptionedFigure"/>
      </w:pPr>
      <w:r>
        <w:drawing>
          <wp:inline>
            <wp:extent cx="5334000" cy="3178848"/>
            <wp:effectExtent b="0" l="0" r="0" t="0"/>
            <wp:docPr descr="Figura 7.2: Recall@k para todos los modelos antes del reranking" title="" id="20" name="Picture"/>
            <a:graphic>
              <a:graphicData uri="http://schemas.openxmlformats.org/drawingml/2006/picture">
                <pic:pic>
                  <pic:nvPicPr>
                    <pic:cNvPr descr="./capitulo_7_analisis/charts/recall_por_k_befor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7.2: Recall@k para todos los modelos antes del reranking</w:t>
      </w:r>
    </w:p>
    <w:p>
      <w:pPr>
        <w:pStyle w:val="BodyText"/>
      </w:pPr>
      <w:r>
        <w:rPr>
          <w:b/>
          <w:bCs/>
        </w:rPr>
        <w:t xml:space="preserve">Observaciones</w:t>
      </w:r>
      <w:r>
        <w:t xml:space="preserve">:</w:t>
      </w:r>
      <w:r>
        <w:t xml:space="preserve"> </w:t>
      </w:r>
      <w:r>
        <w:t xml:space="preserve">- Ada alcanza Recall@15=0.403, recuperando aproximadamente 40% de todos los documentos relevantes en el top-15</w:t>
      </w:r>
      <w:r>
        <w:t xml:space="preserve"> </w:t>
      </w:r>
      <w:r>
        <w:t xml:space="preserve">- El recall crece más pronunciadamente en k pequeños (k=1 a k=5) y se estabiliza para k grandes</w:t>
      </w:r>
      <w:r>
        <w:t xml:space="preserve"> </w:t>
      </w:r>
      <w:r>
        <w:t xml:space="preserve">- Todos los modelos muestran recall sustancial incluso en k=5, validando la efectividad de búsqueda vectorial</w:t>
      </w:r>
    </w:p>
    <w:bookmarkEnd w:id="22"/>
    <w:bookmarkStart w:id="26" w:name="f1k"/>
    <w:p>
      <w:pPr>
        <w:pStyle w:val="Heading4"/>
      </w:pPr>
      <w:r>
        <w:t xml:space="preserve">7.3.2.3 F1@k</w:t>
      </w:r>
    </w:p>
    <w:p>
      <w:pPr>
        <w:pStyle w:val="FirstParagraph"/>
      </w:pPr>
      <w:r>
        <w:rPr>
          <w:b/>
          <w:bCs/>
        </w:rPr>
        <w:t xml:space="preserve">Tabla 7.4: F1@k para Todos los Modelos (Antes del Reranking)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k=5</w:t>
            </w:r>
          </w:p>
        </w:tc>
        <w:tc>
          <w:tcPr/>
          <w:p>
            <w:pPr>
              <w:pStyle w:val="Compact"/>
            </w:pPr>
            <w:r>
              <w:t xml:space="preserve">k=10</w:t>
            </w:r>
          </w:p>
        </w:tc>
        <w:tc>
          <w:tcPr/>
          <w:p>
            <w:pPr>
              <w:pStyle w:val="Compact"/>
            </w:pPr>
            <w:r>
              <w:t xml:space="preserve">k=15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</w:tbl>
    <w:p>
      <w:pPr>
        <w:pStyle w:val="CaptionedFigure"/>
      </w:pPr>
      <w:r>
        <w:drawing>
          <wp:inline>
            <wp:extent cx="5334000" cy="3178848"/>
            <wp:effectExtent b="0" l="0" r="0" t="0"/>
            <wp:docPr descr="Figura 7.3: F1@k para todos los modelos antes del reranking" title="" id="24" name="Picture"/>
            <a:graphic>
              <a:graphicData uri="http://schemas.openxmlformats.org/drawingml/2006/picture">
                <pic:pic>
                  <pic:nvPicPr>
                    <pic:cNvPr descr="./capitulo_7_analisis/charts/f1_por_k_befo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7.3: F1@k para todos los modelos antes del reranking</w:t>
      </w:r>
    </w:p>
    <w:bookmarkEnd w:id="26"/>
    <w:bookmarkStart w:id="30" w:name="ndcgk"/>
    <w:p>
      <w:pPr>
        <w:pStyle w:val="Heading4"/>
      </w:pPr>
      <w:r>
        <w:t xml:space="preserve">7.3.2.4 NDCG@k</w:t>
      </w:r>
    </w:p>
    <w:p>
      <w:pPr>
        <w:pStyle w:val="FirstParagraph"/>
      </w:pPr>
      <w:r>
        <w:t xml:space="preserve">NDCG (Normalized Discounted Cumulative Gain) penaliza documentos relevantes que aparecen en posiciones inferiores, priorizando la calidad del ranking.</w:t>
      </w:r>
    </w:p>
    <w:p>
      <w:pPr>
        <w:pStyle w:val="BodyText"/>
      </w:pPr>
      <w:r>
        <w:rPr>
          <w:b/>
          <w:bCs/>
        </w:rPr>
        <w:t xml:space="preserve">Tabla 7.5: NDCG@k para Todos los Modelos (Antes del Reranking)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k=5</w:t>
            </w:r>
          </w:p>
        </w:tc>
        <w:tc>
          <w:tcPr/>
          <w:p>
            <w:pPr>
              <w:pStyle w:val="Compact"/>
            </w:pPr>
            <w:r>
              <w:t xml:space="preserve">k=10</w:t>
            </w:r>
          </w:p>
        </w:tc>
        <w:tc>
          <w:tcPr/>
          <w:p>
            <w:pPr>
              <w:pStyle w:val="Compact"/>
            </w:pPr>
            <w:r>
              <w:t xml:space="preserve">k=15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0.173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</w:tr>
    </w:tbl>
    <w:p>
      <w:pPr>
        <w:pStyle w:val="CaptionedFigure"/>
      </w:pPr>
      <w:r>
        <w:drawing>
          <wp:inline>
            <wp:extent cx="5334000" cy="3178848"/>
            <wp:effectExtent b="0" l="0" r="0" t="0"/>
            <wp:docPr descr="Figura 7.4: NDCG@k para todos los modelos antes del reranking" title="" id="28" name="Picture"/>
            <a:graphic>
              <a:graphicData uri="http://schemas.openxmlformats.org/drawingml/2006/picture">
                <pic:pic>
                  <pic:nvPicPr>
                    <pic:cNvPr descr="./capitulo_7_analisis/charts/ndcg_por_k_befo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7.4: NDCG@k para todos los modelos antes del reranking</w:t>
      </w:r>
    </w:p>
    <w:bookmarkEnd w:id="30"/>
    <w:bookmarkStart w:id="34" w:name="mapk"/>
    <w:p>
      <w:pPr>
        <w:pStyle w:val="Heading4"/>
      </w:pPr>
      <w:r>
        <w:t xml:space="preserve">7.3.2.5 MAP@k</w:t>
      </w:r>
    </w:p>
    <w:p>
      <w:pPr>
        <w:pStyle w:val="FirstParagraph"/>
      </w:pPr>
      <w:r>
        <w:t xml:space="preserve">MAP (Mean Average Precision) mide la calidad promedio del ranking de todos los documentos relevantes.</w:t>
      </w:r>
    </w:p>
    <w:p>
      <w:pPr>
        <w:pStyle w:val="BodyText"/>
      </w:pPr>
      <w:r>
        <w:rPr>
          <w:b/>
          <w:bCs/>
        </w:rPr>
        <w:t xml:space="preserve">Tabla 7.6: MAP@k para Todos los Modelos (Antes del Reranking)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k=5</w:t>
            </w:r>
          </w:p>
        </w:tc>
        <w:tc>
          <w:tcPr/>
          <w:p>
            <w:pPr>
              <w:pStyle w:val="Compact"/>
            </w:pPr>
            <w:r>
              <w:t xml:space="preserve">k=10</w:t>
            </w:r>
          </w:p>
        </w:tc>
        <w:tc>
          <w:tcPr/>
          <w:p>
            <w:pPr>
              <w:pStyle w:val="Compact"/>
            </w:pPr>
            <w:r>
              <w:t xml:space="preserve">k=15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0.205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</w:tbl>
    <w:p>
      <w:pPr>
        <w:pStyle w:val="CaptionedFigure"/>
      </w:pPr>
      <w:r>
        <w:drawing>
          <wp:inline>
            <wp:extent cx="5334000" cy="3178848"/>
            <wp:effectExtent b="0" l="0" r="0" t="0"/>
            <wp:docPr descr="Figura 7.5: MAP@k para todos los modelos antes del reranking" title="" id="32" name="Picture"/>
            <a:graphic>
              <a:graphicData uri="http://schemas.openxmlformats.org/drawingml/2006/picture">
                <pic:pic>
                  <pic:nvPicPr>
                    <pic:cNvPr descr="./capitulo_7_analisis/charts/map_por_k_befo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7.5: MAP@k para todos los modelos antes del reranking</w:t>
      </w:r>
    </w:p>
    <w:bookmarkEnd w:id="34"/>
    <w:bookmarkEnd w:id="35"/>
    <w:bookmarkStart w:id="36" w:name="ranking-de-modelos-etapa-1"/>
    <w:p>
      <w:pPr>
        <w:pStyle w:val="Heading3"/>
      </w:pPr>
      <w:r>
        <w:t xml:space="preserve">7.3.3 Ranking de Modelos (Etapa 1)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Tabla 7.7</w:t>
      </w:r>
      <w:r>
        <w:t xml:space="preserve"> </w:t>
      </w:r>
      <w:r>
        <w:t xml:space="preserve">presenta el ranking definitivo de modelos basado en Precision@5, la métrica más representativa para sistemas interactivos.</w:t>
      </w:r>
    </w:p>
    <w:p>
      <w:pPr>
        <w:pStyle w:val="BodyText"/>
      </w:pPr>
      <w:r>
        <w:rPr>
          <w:b/>
          <w:bCs/>
        </w:rPr>
        <w:t xml:space="preserve">Tabla 7.7: Ranking de Modelos por Precision@5 (Antes del Reranking)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Posición</w:t>
            </w: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NDCG@5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  <w:tc>
          <w:tcPr/>
          <w:p>
            <w:pPr>
              <w:pStyle w:val="Compact"/>
            </w:pPr>
            <w:r>
              <w:t xml:space="preserve">0.277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</w:tbl>
    <w:bookmarkEnd w:id="36"/>
    <w:bookmarkEnd w:id="37"/>
    <w:bookmarkStart w:id="49" w:name="etapa-2-resultados-después-del-reranking"/>
    <w:p>
      <w:pPr>
        <w:pStyle w:val="Heading2"/>
      </w:pPr>
      <w:r>
        <w:t xml:space="preserve">7.4 Etapa 2: Resultados Después del Reranking</w:t>
      </w:r>
    </w:p>
    <w:p>
      <w:pPr>
        <w:pStyle w:val="FirstParagraph"/>
      </w:pPr>
      <w:r>
        <w:t xml:space="preserve">Esta sección presenta el rendimiento tras aplicar el componente de reranking neural (CrossEncoder) sobre los resultados iniciales de la búsqueda vectorial.</w:t>
      </w:r>
    </w:p>
    <w:bookmarkStart w:id="38" w:name="rendimiento-general-por-modelo-1"/>
    <w:p>
      <w:pPr>
        <w:pStyle w:val="Heading3"/>
      </w:pPr>
      <w:r>
        <w:t xml:space="preserve">7.4.1 Rendimiento General por Modelo</w:t>
      </w:r>
    </w:p>
    <w:p>
      <w:pPr>
        <w:pStyle w:val="FirstParagraph"/>
      </w:pPr>
      <w:r>
        <w:rPr>
          <w:b/>
          <w:bCs/>
        </w:rPr>
        <w:t xml:space="preserve">Tabla 7.8: Rendimiento de Todos los Modelos Después del Reranking (k=5)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NDCG@5</w:t>
            </w:r>
          </w:p>
        </w:tc>
        <w:tc>
          <w:tcPr/>
          <w:p>
            <w:pPr>
              <w:pStyle w:val="Compact"/>
            </w:pPr>
            <w:r>
              <w:t xml:space="preserve">MAP@5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</w:tr>
    </w:tbl>
    <w:p>
      <w:pPr>
        <w:pStyle w:val="BodyText"/>
      </w:pPr>
      <w:r>
        <w:rPr>
          <w:b/>
          <w:bCs/>
        </w:rPr>
        <w:t xml:space="preserve">Cambios Observados: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Ada</w:t>
      </w:r>
      <w:r>
        <w:t xml:space="preserve">: 0.062 → 0.052 (-0.010, -15.6%) 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MPNet</w:t>
      </w:r>
      <w:r>
        <w:t xml:space="preserve">: 0.052 → 0.050 (-0.002, -3.4%) 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E5-Large</w:t>
      </w:r>
      <w:r>
        <w:t xml:space="preserve">: 0.045 → 0.046 (+0.001, +2.2%) 📈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MiniLM</w:t>
      </w:r>
      <w:r>
        <w:t xml:space="preserve">: 0.041 → 0.047 (+0.005, +13.1%) 📈</w:t>
      </w:r>
    </w:p>
    <w:bookmarkEnd w:id="38"/>
    <w:bookmarkStart w:id="47" w:name="X00f7b899b8aedefccf41d88ee3e39f590bcf378"/>
    <w:p>
      <w:pPr>
        <w:pStyle w:val="Heading3"/>
      </w:pPr>
      <w:r>
        <w:t xml:space="preserve">7.4.2 Análisis por Métrica (Después del Reranking)</w:t>
      </w:r>
    </w:p>
    <w:bookmarkStart w:id="42" w:name="precisionk-1"/>
    <w:p>
      <w:pPr>
        <w:pStyle w:val="Heading4"/>
      </w:pPr>
      <w:r>
        <w:t xml:space="preserve">7.4.2.1 Precision@k</w:t>
      </w:r>
    </w:p>
    <w:p>
      <w:pPr>
        <w:pStyle w:val="FirstParagraph"/>
      </w:pPr>
      <w:r>
        <w:rPr>
          <w:b/>
          <w:bCs/>
        </w:rPr>
        <w:t xml:space="preserve">Tabla 7.9: Precision@k Después del Reranking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k=5</w:t>
            </w:r>
          </w:p>
        </w:tc>
        <w:tc>
          <w:tcPr/>
          <w:p>
            <w:pPr>
              <w:pStyle w:val="Compact"/>
            </w:pPr>
            <w:r>
              <w:t xml:space="preserve">k=10</w:t>
            </w:r>
          </w:p>
        </w:tc>
        <w:tc>
          <w:tcPr/>
          <w:p>
            <w:pPr>
              <w:pStyle w:val="Compact"/>
            </w:pPr>
            <w:r>
              <w:t xml:space="preserve">k=15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</w:tbl>
    <w:p>
      <w:pPr>
        <w:pStyle w:val="CaptionedFigure"/>
      </w:pPr>
      <w:r>
        <w:drawing>
          <wp:inline>
            <wp:extent cx="5334000" cy="3178848"/>
            <wp:effectExtent b="0" l="0" r="0" t="0"/>
            <wp:docPr descr="Figura 7.6: Precision@k después del reranking" title="" id="40" name="Picture"/>
            <a:graphic>
              <a:graphicData uri="http://schemas.openxmlformats.org/drawingml/2006/picture">
                <pic:pic>
                  <pic:nvPicPr>
                    <pic:cNvPr descr="./capitulo_7_analisis/charts/precision_por_k_aft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7.6: Precision@k después del reranking</w:t>
      </w:r>
    </w:p>
    <w:bookmarkEnd w:id="42"/>
    <w:bookmarkStart w:id="46" w:name="recallk-1"/>
    <w:p>
      <w:pPr>
        <w:pStyle w:val="Heading4"/>
      </w:pPr>
      <w:r>
        <w:t xml:space="preserve">7.4.2.2 Recall@k</w:t>
      </w:r>
    </w:p>
    <w:p>
      <w:pPr>
        <w:pStyle w:val="FirstParagraph"/>
      </w:pPr>
      <w:r>
        <w:rPr>
          <w:b/>
          <w:bCs/>
        </w:rPr>
        <w:t xml:space="preserve">Tabla 7.10: Recall@k Después del Reranking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k=3</w:t>
            </w:r>
          </w:p>
        </w:tc>
        <w:tc>
          <w:tcPr/>
          <w:p>
            <w:pPr>
              <w:pStyle w:val="Compact"/>
            </w:pPr>
            <w:r>
              <w:t xml:space="preserve">k=5</w:t>
            </w:r>
          </w:p>
        </w:tc>
        <w:tc>
          <w:tcPr/>
          <w:p>
            <w:pPr>
              <w:pStyle w:val="Compact"/>
            </w:pPr>
            <w:r>
              <w:t xml:space="preserve">k=10</w:t>
            </w:r>
          </w:p>
        </w:tc>
        <w:tc>
          <w:tcPr/>
          <w:p>
            <w:pPr>
              <w:pStyle w:val="Compact"/>
            </w:pPr>
            <w:r>
              <w:t xml:space="preserve">k=15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0.136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</w:tr>
    </w:tbl>
    <w:p>
      <w:pPr>
        <w:pStyle w:val="CaptionedFigure"/>
      </w:pPr>
      <w:r>
        <w:drawing>
          <wp:inline>
            <wp:extent cx="5334000" cy="3178848"/>
            <wp:effectExtent b="0" l="0" r="0" t="0"/>
            <wp:docPr descr="Figura 7.7: Recall@k después del reranking" title="" id="44" name="Picture"/>
            <a:graphic>
              <a:graphicData uri="http://schemas.openxmlformats.org/drawingml/2006/picture">
                <pic:pic>
                  <pic:nvPicPr>
                    <pic:cNvPr descr="./capitulo_7_analisis/charts/recall_por_k_aft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7.7: Recall@k después del reranking</w:t>
      </w:r>
    </w:p>
    <w:bookmarkEnd w:id="46"/>
    <w:bookmarkEnd w:id="47"/>
    <w:bookmarkStart w:id="48" w:name="ranking-de-modelos-etapa-2"/>
    <w:p>
      <w:pPr>
        <w:pStyle w:val="Heading3"/>
      </w:pPr>
      <w:r>
        <w:t xml:space="preserve">7.4.3 Ranking de Modelos (Etapa 2)</w:t>
      </w:r>
    </w:p>
    <w:p>
      <w:pPr>
        <w:pStyle w:val="FirstParagraph"/>
      </w:pPr>
      <w:r>
        <w:rPr>
          <w:b/>
          <w:bCs/>
        </w:rPr>
        <w:t xml:space="preserve">Tabla 7.11: Ranking de Modelos por Precision@5 (Después del Reranking)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Posición</w:t>
            </w: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NDCG@5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0.077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Observación</w:t>
      </w:r>
      <w:r>
        <w:t xml:space="preserve">: El ranking relativo de modelos se mantiene consistente después del reranking, aunque las brechas de rendimiento se reducen (efecto de convergencia).</w:t>
      </w:r>
    </w:p>
    <w:bookmarkEnd w:id="48"/>
    <w:bookmarkEnd w:id="49"/>
    <w:bookmarkStart w:id="55" w:name="X59f951e67b447f38da057780e51af1e4a363c5b"/>
    <w:p>
      <w:pPr>
        <w:pStyle w:val="Heading2"/>
      </w:pPr>
      <w:r>
        <w:t xml:space="preserve">7.5 Etapa 3: Análisis del Impacto del Reranking</w:t>
      </w:r>
    </w:p>
    <w:p>
      <w:pPr>
        <w:pStyle w:val="FirstParagraph"/>
      </w:pPr>
      <w:r>
        <w:t xml:space="preserve">Esta sección cuantifica el impacto del componente de reranking comparando directamente las dos etapas anteriores.</w:t>
      </w:r>
    </w:p>
    <w:bookmarkStart w:id="53" w:name="impacto-por-modelo"/>
    <w:p>
      <w:pPr>
        <w:pStyle w:val="Heading3"/>
      </w:pPr>
      <w:r>
        <w:t xml:space="preserve">7.5.1 Impacto por Modelo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Tabla 7.12</w:t>
      </w:r>
      <w:r>
        <w:t xml:space="preserve"> </w:t>
      </w:r>
      <w:r>
        <w:t xml:space="preserve">presenta el cambio absoluto y porcentual en todas las métricas principales para k=5.</w:t>
      </w:r>
    </w:p>
    <w:p>
      <w:pPr>
        <w:pStyle w:val="BodyText"/>
      </w:pPr>
      <w:r>
        <w:rPr>
          <w:b/>
          <w:bCs/>
        </w:rPr>
        <w:t xml:space="preserve">Tabla 7.12: Impacto del Reranking por Modelo (k=5)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Después</w:t>
            </w:r>
          </w:p>
        </w:tc>
        <w:tc>
          <w:tcPr/>
          <w:p>
            <w:pPr>
              <w:pStyle w:val="Compact"/>
            </w:pPr>
            <w:r>
              <w:t xml:space="preserve">Δ Absoluto</w:t>
            </w:r>
          </w:p>
        </w:tc>
        <w:tc>
          <w:tcPr/>
          <w:p>
            <w:pPr>
              <w:pStyle w:val="Compact"/>
            </w:pPr>
            <w:r>
              <w:t xml:space="preserve">Δ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-16.7%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0.330</w:t>
            </w:r>
          </w:p>
        </w:tc>
        <w:tc>
          <w:tcPr/>
          <w:p>
            <w:pPr>
              <w:pStyle w:val="Compact"/>
            </w:pPr>
            <w:r>
              <w:t xml:space="preserve">-0.068</w:t>
            </w:r>
          </w:p>
        </w:tc>
        <w:tc>
          <w:tcPr/>
          <w:p>
            <w:pPr>
              <w:pStyle w:val="Compact"/>
            </w:pPr>
            <w:r>
              <w:t xml:space="preserve">-17.2%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-0.025</w:t>
            </w:r>
          </w:p>
        </w:tc>
        <w:tc>
          <w:tcPr/>
          <w:p>
            <w:pPr>
              <w:pStyle w:val="Compact"/>
            </w:pPr>
            <w:r>
              <w:t xml:space="preserve">-16.8%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NDCG@5</w:t>
            </w:r>
          </w:p>
        </w:tc>
        <w:tc>
          <w:tcPr/>
          <w:p>
            <w:pPr>
              <w:pStyle w:val="Compact"/>
            </w:pPr>
            <w:r>
              <w:t xml:space="preserve">0.234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-13.6%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MAP@5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-0.062</w:t>
            </w:r>
          </w:p>
        </w:tc>
        <w:tc>
          <w:tcPr/>
          <w:p>
            <w:pPr>
              <w:pStyle w:val="Compact"/>
            </w:pPr>
            <w:r>
              <w:t xml:space="preserve">-23.7%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-13.2%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-5.5%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0.277</w:t>
            </w:r>
          </w:p>
        </w:tc>
        <w:tc>
          <w:tcPr/>
          <w:p>
            <w:pPr>
              <w:pStyle w:val="Compac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NDCG@5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MAP@5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0.184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-4.1%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-1.2%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NDCG@5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MAP@5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0.161</w:t>
            </w:r>
          </w:p>
        </w:tc>
        <w:tc>
          <w:tcPr/>
          <w:p>
            <w:pPr>
              <w:pStyle w:val="Compact"/>
            </w:pPr>
            <w:r>
              <w:t xml:space="preserve">+0.000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+0.000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+0.007</w:t>
            </w:r>
          </w:p>
        </w:tc>
        <w:tc>
          <w:tcPr/>
          <w:p>
            <w:pPr>
              <w:pStyle w:val="Compact"/>
            </w:pPr>
            <w:r>
              <w:t xml:space="preserve">+13.6%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0.236</w:t>
            </w:r>
          </w:p>
        </w:tc>
        <w:tc>
          <w:tcPr/>
          <w:p>
            <w:pPr>
              <w:pStyle w:val="Compact"/>
            </w:pPr>
            <w:r>
              <w:t xml:space="preserve">+0.025</w:t>
            </w:r>
          </w:p>
        </w:tc>
        <w:tc>
          <w:tcPr/>
          <w:p>
            <w:pPr>
              <w:pStyle w:val="Compact"/>
            </w:pPr>
            <w:r>
              <w:t xml:space="preserve">+11.9%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0.082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+0.011</w:t>
            </w:r>
          </w:p>
        </w:tc>
        <w:tc>
          <w:tcPr/>
          <w:p>
            <w:pPr>
              <w:pStyle w:val="Compact"/>
            </w:pPr>
            <w:r>
              <w:t xml:space="preserve">+13.1%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NDCG@5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+12.5%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MAP@5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+11.4%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+10.0%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Observaciones Clave: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MiniLM muestra mejoras consistentes</w:t>
      </w:r>
      <w:r>
        <w:t xml:space="preserve"> </w:t>
      </w:r>
      <w:r>
        <w:t xml:space="preserve">(+10% a +14% en todas las métricas), confirmando que el reranking compensa efectivamente las limitaciones del modelo compacto.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Ada muestra degradación sistemática</w:t>
      </w:r>
      <w:r>
        <w:t xml:space="preserve"> </w:t>
      </w:r>
      <w:r>
        <w:t xml:space="preserve">(-13% a -24%), sugiriendo que sus embeddings de alta calidad ya producen rankings óptimos que el CrossEncoder no puede mejorar.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MPNet y E5-Large muestran estabilidad</w:t>
      </w:r>
      <w:r>
        <w:t xml:space="preserve">, con cambios menores (±1% a ±7%), indicando que el reranking tiene impacto limitado en modelos de calidad intermedia.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Figura 7.8</w:t>
      </w:r>
      <w:r>
        <w:t xml:space="preserve"> </w:t>
      </w:r>
      <w:r>
        <w:t xml:space="preserve">visualiza el impacto del reranking mediante un mapa de calor que muestra el cambio porcentual de cada métrica para cada modelo.</w:t>
      </w:r>
    </w:p>
    <w:p>
      <w:pPr>
        <w:pStyle w:val="CaptionedFigure"/>
      </w:pPr>
      <w:r>
        <w:drawing>
          <wp:inline>
            <wp:extent cx="5334000" cy="2493708"/>
            <wp:effectExtent b="0" l="0" r="0" t="0"/>
            <wp:docPr descr="Figura 7.8: Mapa de calor del impacto del reranking" title="" id="51" name="Picture"/>
            <a:graphic>
              <a:graphicData uri="http://schemas.openxmlformats.org/drawingml/2006/picture">
                <pic:pic>
                  <pic:nvPicPr>
                    <pic:cNvPr descr="./capitulo_7_analisis/charts/delta_heatma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3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7.8: Mapa de calor del impacto del reranking</w:t>
      </w:r>
    </w:p>
    <w:bookmarkEnd w:id="53"/>
    <w:bookmarkStart w:id="54" w:name="impacto-por-métrica"/>
    <w:p>
      <w:pPr>
        <w:pStyle w:val="Heading3"/>
      </w:pPr>
      <w:r>
        <w:t xml:space="preserve">7.5.2 Impacto por Métrica</w:t>
      </w:r>
    </w:p>
    <w:p>
      <w:pPr>
        <w:pStyle w:val="FirstParagraph"/>
      </w:pPr>
      <w:r>
        <w:t xml:space="preserve">Analizando el impacto agregado en cada métrica:</w:t>
      </w:r>
    </w:p>
    <w:p>
      <w:pPr>
        <w:pStyle w:val="BodyText"/>
      </w:pPr>
      <w:r>
        <w:rPr>
          <w:b/>
          <w:bCs/>
        </w:rPr>
        <w:t xml:space="preserve">Tabla 7.13: Cambio Promedio por Métrica (Todos los Modelos)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Promedio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-16.7%</w:t>
            </w:r>
          </w:p>
        </w:tc>
        <w:tc>
          <w:tcPr/>
          <w:p>
            <w:pPr>
              <w:pStyle w:val="Compact"/>
            </w:pPr>
            <w:r>
              <w:t xml:space="preserve">-5.5%</w:t>
            </w:r>
          </w:p>
        </w:tc>
        <w:tc>
          <w:tcPr/>
          <w:p>
            <w:pPr>
              <w:pStyle w:val="Compact"/>
            </w:pPr>
            <w:r>
              <w:t xml:space="preserve">-1.2%</w:t>
            </w:r>
          </w:p>
        </w:tc>
        <w:tc>
          <w:tcPr/>
          <w:p>
            <w:pPr>
              <w:pStyle w:val="Compact"/>
            </w:pPr>
            <w:r>
              <w:t xml:space="preserve">+13.6%</w:t>
            </w:r>
          </w:p>
        </w:tc>
        <w:tc>
          <w:tcPr/>
          <w:p>
            <w:pPr>
              <w:pStyle w:val="Compact"/>
            </w:pPr>
            <w:r>
              <w:t xml:space="preserve">-2.4%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-17.2%</w:t>
            </w:r>
          </w:p>
        </w:tc>
        <w:tc>
          <w:tcPr/>
          <w:p>
            <w:pPr>
              <w:pStyle w:val="Compact"/>
            </w:pPr>
            <w:r>
              <w:t xml:space="preserve">-4.8%</w:t>
            </w:r>
          </w:p>
        </w:tc>
        <w:tc>
          <w:tcPr/>
          <w:p>
            <w:pPr>
              <w:pStyle w:val="Compact"/>
            </w:pPr>
            <w:r>
              <w:t xml:space="preserve">-2.5%</w:t>
            </w:r>
          </w:p>
        </w:tc>
        <w:tc>
          <w:tcPr/>
          <w:p>
            <w:pPr>
              <w:pStyle w:val="Compact"/>
            </w:pPr>
            <w:r>
              <w:t xml:space="preserve">+11.9%</w:t>
            </w:r>
          </w:p>
        </w:tc>
        <w:tc>
          <w:tcPr/>
          <w:p>
            <w:pPr>
              <w:pStyle w:val="Compact"/>
            </w:pPr>
            <w:r>
              <w:t xml:space="preserve">-3.2%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F1@5</w:t>
            </w:r>
          </w:p>
        </w:tc>
        <w:tc>
          <w:tcPr/>
          <w:p>
            <w:pPr>
              <w:pStyle w:val="Compact"/>
            </w:pPr>
            <w:r>
              <w:t xml:space="preserve">-16.8%</w:t>
            </w:r>
          </w:p>
        </w:tc>
        <w:tc>
          <w:tcPr/>
          <w:p>
            <w:pPr>
              <w:pStyle w:val="Compact"/>
            </w:pPr>
            <w:r>
              <w:t xml:space="preserve">-5.0%</w:t>
            </w:r>
          </w:p>
        </w:tc>
        <w:tc>
          <w:tcPr/>
          <w:p>
            <w:pPr>
              <w:pStyle w:val="Compact"/>
            </w:pPr>
            <w:r>
              <w:t xml:space="preserve">-1.6%</w:t>
            </w:r>
          </w:p>
        </w:tc>
        <w:tc>
          <w:tcPr/>
          <w:p>
            <w:pPr>
              <w:pStyle w:val="Compact"/>
            </w:pPr>
            <w:r>
              <w:t xml:space="preserve">+13.1%</w:t>
            </w:r>
          </w:p>
        </w:tc>
        <w:tc>
          <w:tcPr/>
          <w:p>
            <w:pPr>
              <w:pStyle w:val="Compact"/>
            </w:pPr>
            <w:r>
              <w:t xml:space="preserve">-2.6%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NDCG@5</w:t>
            </w:r>
          </w:p>
        </w:tc>
        <w:tc>
          <w:tcPr/>
          <w:p>
            <w:pPr>
              <w:pStyle w:val="Compact"/>
            </w:pPr>
            <w:r>
              <w:t xml:space="preserve">-13.6%</w:t>
            </w:r>
          </w:p>
        </w:tc>
        <w:tc>
          <w:tcPr/>
          <w:p>
            <w:pPr>
              <w:pStyle w:val="Compact"/>
            </w:pPr>
            <w:r>
              <w:t xml:space="preserve">-3.8%</w:t>
            </w:r>
          </w:p>
        </w:tc>
        <w:tc>
          <w:tcPr/>
          <w:p>
            <w:pPr>
              <w:pStyle w:val="Compact"/>
            </w:pPr>
            <w:r>
              <w:t xml:space="preserve">-1.6%</w:t>
            </w:r>
          </w:p>
        </w:tc>
        <w:tc>
          <w:tcPr/>
          <w:p>
            <w:pPr>
              <w:pStyle w:val="Compact"/>
            </w:pPr>
            <w:r>
              <w:t xml:space="preserve">+12.5%</w:t>
            </w:r>
          </w:p>
        </w:tc>
        <w:tc>
          <w:tcPr/>
          <w:p>
            <w:pPr>
              <w:pStyle w:val="Compact"/>
            </w:pPr>
            <w:r>
              <w:t xml:space="preserve">-1.6%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MAP@5</w:t>
            </w:r>
          </w:p>
        </w:tc>
        <w:tc>
          <w:tcPr/>
          <w:p>
            <w:pPr>
              <w:pStyle w:val="Compact"/>
            </w:pPr>
            <w:r>
              <w:t xml:space="preserve">-23.7%</w:t>
            </w:r>
          </w:p>
        </w:tc>
        <w:tc>
          <w:tcPr/>
          <w:p>
            <w:pPr>
              <w:pStyle w:val="Compact"/>
            </w:pPr>
            <w:r>
              <w:t xml:space="preserve">-7.2%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  <w:tc>
          <w:tcPr/>
          <w:p>
            <w:pPr>
              <w:pStyle w:val="Compact"/>
            </w:pPr>
            <w:r>
              <w:t xml:space="preserve">+11.4%</w:t>
            </w:r>
          </w:p>
        </w:tc>
        <w:tc>
          <w:tcPr/>
          <w:p>
            <w:pPr>
              <w:pStyle w:val="Compact"/>
            </w:pPr>
            <w:r>
              <w:t xml:space="preserve">-4.9%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-13.2%</w:t>
            </w:r>
          </w:p>
        </w:tc>
        <w:tc>
          <w:tcPr/>
          <w:p>
            <w:pPr>
              <w:pStyle w:val="Compact"/>
            </w:pPr>
            <w:r>
              <w:t xml:space="preserve">-4.1%</w:t>
            </w:r>
          </w:p>
        </w:tc>
        <w:tc>
          <w:tcPr/>
          <w:p>
            <w:pPr>
              <w:pStyle w:val="Compact"/>
            </w:pPr>
            <w:r>
              <w:t xml:space="preserve">+0.1%</w:t>
            </w:r>
          </w:p>
        </w:tc>
        <w:tc>
          <w:tcPr/>
          <w:p>
            <w:pPr>
              <w:pStyle w:val="Compact"/>
            </w:pPr>
            <w:r>
              <w:t xml:space="preserve">+10.0%</w:t>
            </w:r>
          </w:p>
        </w:tc>
        <w:tc>
          <w:tcPr/>
          <w:p>
            <w:pPr>
              <w:pStyle w:val="Compact"/>
            </w:pPr>
            <w:r>
              <w:t xml:space="preserve">-1.8%</w:t>
            </w:r>
          </w:p>
        </w:tc>
      </w:tr>
    </w:tbl>
    <w:bookmarkEnd w:id="54"/>
    <w:bookmarkEnd w:id="55"/>
    <w:bookmarkStart w:id="58" w:name="análisis-del-componente-de-reranking"/>
    <w:p>
      <w:pPr>
        <w:pStyle w:val="Heading2"/>
      </w:pPr>
      <w:r>
        <w:t xml:space="preserve">7.6 Análisis del Componente de Reranking</w:t>
      </w:r>
    </w:p>
    <w:bookmarkStart w:id="56" w:name="características-del-crossencoder"/>
    <w:p>
      <w:pPr>
        <w:pStyle w:val="Heading3"/>
      </w:pPr>
      <w:r>
        <w:t xml:space="preserve">7.6.1 Características del CrossEncoder</w:t>
      </w:r>
    </w:p>
    <w:p>
      <w:pPr>
        <w:pStyle w:val="FirstParagraph"/>
      </w:pPr>
      <w:r>
        <w:t xml:space="preserve">El CrossEncoder ms-marco-MiniLM-L-6-v2 utilizado para reranking presenta las siguientes características: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Arquitectura</w:t>
      </w:r>
      <w:r>
        <w:t xml:space="preserve">: Transformer de 6 capas con atención cruzada completa entre query y documento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Entrenamiento</w:t>
      </w:r>
      <w:r>
        <w:t xml:space="preserve">: MS MARCO (búsqueda web general)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Normalización</w:t>
      </w:r>
      <w:r>
        <w:t xml:space="preserve">: Min-Max para mapear scores al rango [0,1]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Contexto</w:t>
      </w:r>
      <w:r>
        <w:t xml:space="preserve">: Truncamiento a 512 tokens (limitación para documentos largos)</w:t>
      </w:r>
    </w:p>
    <w:bookmarkEnd w:id="56"/>
    <w:bookmarkStart w:id="57" w:name="limitaciones-identificadas"/>
    <w:p>
      <w:pPr>
        <w:pStyle w:val="Heading3"/>
      </w:pPr>
      <w:r>
        <w:t xml:space="preserve">7.6.2 Limitaciones Identificadas</w:t>
      </w:r>
    </w:p>
    <w:p>
      <w:pPr>
        <w:pStyle w:val="FirstParagraph"/>
      </w:pPr>
      <w:r>
        <w:t xml:space="preserve">El análisis reveló las siguientes limitaciones del reranking: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Desajuste de dominio</w:t>
      </w:r>
      <w:r>
        <w:t xml:space="preserve">: Entrenado en búsqueda web general, no documentación técnica especializada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Interferencia con embeddings fuertes</w:t>
      </w:r>
      <w:r>
        <w:t xml:space="preserve">: Degrada rankings ya óptimos (caso Ada)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Limitación de contexto</w:t>
      </w:r>
      <w:r>
        <w:t xml:space="preserve">: Truncamiento a 512 tokens pierde información en documentos largos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Costo computacional</w:t>
      </w:r>
      <w:r>
        <w:t xml:space="preserve">: Incremento de latencia ~35× por el procesamiento secuencial</w:t>
      </w:r>
    </w:p>
    <w:bookmarkEnd w:id="57"/>
    <w:bookmarkEnd w:id="58"/>
    <w:bookmarkStart w:id="63" w:name="evaluación-de-calidad-de-respuestas-rag"/>
    <w:p>
      <w:pPr>
        <w:pStyle w:val="Heading2"/>
      </w:pPr>
      <w:r>
        <w:t xml:space="preserve">7.7 Evaluación de Calidad de Respuestas RAG</w:t>
      </w:r>
    </w:p>
    <w:p>
      <w:pPr>
        <w:pStyle w:val="FirstParagraph"/>
      </w:pPr>
      <w:r>
        <w:t xml:space="preserve">Además de las métricas de recuperación tradicionales, se evaluó la calidad de las respuestas generadas por el sistema RAG completo utilizando métricas RAGAS (Retrieval Augmented Generation Assessment) y BERTScore, que miden aspectos complementarios de la calidad de generación.</w:t>
      </w:r>
    </w:p>
    <w:bookmarkStart w:id="59" w:name="marco-de-evaluación-ragas"/>
    <w:p>
      <w:pPr>
        <w:pStyle w:val="Heading3"/>
      </w:pPr>
      <w:r>
        <w:t xml:space="preserve">7.7.1 Marco de Evaluación RAGAS</w:t>
      </w:r>
    </w:p>
    <w:p>
      <w:pPr>
        <w:pStyle w:val="FirstParagraph"/>
      </w:pPr>
      <w:r>
        <w:t xml:space="preserve">RAGAS evalúa la calidad del sistema RAG desde múltiples perspectivas: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Faithfulness</w:t>
      </w:r>
      <w:r>
        <w:t xml:space="preserve">: Fidelidad de la respuesta respecto al contexto recuperado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Answer Relevance</w:t>
      </w:r>
      <w:r>
        <w:t xml:space="preserve">: Relevancia de la respuesta respecto a la pregunta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Answer Correctness</w:t>
      </w:r>
      <w:r>
        <w:t xml:space="preserve">: Corrección semántica de la respuesta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Context Precision</w:t>
      </w:r>
      <w:r>
        <w:t xml:space="preserve">: Precisión del contexto recuperado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Context Recall</w:t>
      </w:r>
      <w:r>
        <w:t xml:space="preserve">: Completitud del contexto recuperado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Semantic Similarity</w:t>
      </w:r>
      <w:r>
        <w:t xml:space="preserve">: Similitud semántica entre respuesta y referencia</w:t>
      </w:r>
    </w:p>
    <w:bookmarkEnd w:id="59"/>
    <w:bookmarkStart w:id="60" w:name="resultados-de-métricas-rag"/>
    <w:p>
      <w:pPr>
        <w:pStyle w:val="Heading3"/>
      </w:pPr>
      <w:r>
        <w:t xml:space="preserve">7.7.2 Resultados de Métricas RAG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Tabla 7.14</w:t>
      </w:r>
      <w:r>
        <w:t xml:space="preserve"> </w:t>
      </w:r>
      <w:r>
        <w:t xml:space="preserve">presenta las métricas RAGAS para los cuatro modelos de embeddings.</w:t>
      </w:r>
    </w:p>
    <w:p>
      <w:pPr>
        <w:pStyle w:val="BodyText"/>
      </w:pPr>
      <w:r>
        <w:rPr>
          <w:b/>
          <w:bCs/>
        </w:rPr>
        <w:t xml:space="preserve">Tabla 7.14: Métricas RAGAS por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2"/>
        <w:gridCol w:w="1368"/>
        <w:gridCol w:w="1271"/>
        <w:gridCol w:w="1466"/>
        <w:gridCol w:w="1564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Faithfulness</w:t>
            </w:r>
          </w:p>
        </w:tc>
        <w:tc>
          <w:tcPr/>
          <w:p>
            <w:pPr>
              <w:pStyle w:val="Compact"/>
            </w:pPr>
            <w:r>
              <w:t xml:space="preserve">Answer Rel.</w:t>
            </w:r>
          </w:p>
        </w:tc>
        <w:tc>
          <w:tcPr/>
          <w:p>
            <w:pPr>
              <w:pStyle w:val="Compact"/>
            </w:pPr>
            <w:r>
              <w:t xml:space="preserve">Context Prec.</w:t>
            </w:r>
          </w:p>
        </w:tc>
        <w:tc>
          <w:tcPr/>
          <w:p>
            <w:pPr>
              <w:pStyle w:val="Compact"/>
            </w:pPr>
            <w:r>
              <w:t xml:space="preserve">Context Recall</w:t>
            </w:r>
          </w:p>
        </w:tc>
        <w:tc>
          <w:tcPr/>
          <w:p>
            <w:pPr>
              <w:pStyle w:val="Compact"/>
            </w:pPr>
            <w:r>
              <w:t xml:space="preserve">Semantic Sim.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0.918</w:t>
            </w:r>
          </w:p>
        </w:tc>
        <w:tc>
          <w:tcPr/>
          <w:p>
            <w:pPr>
              <w:pStyle w:val="Compact"/>
            </w:pPr>
            <w:r>
              <w:t xml:space="preserve">0.848</w:t>
            </w:r>
          </w:p>
        </w:tc>
        <w:tc>
          <w:tcPr/>
          <w:p>
            <w:pPr>
              <w:pStyle w:val="Compact"/>
            </w:pPr>
            <w:r>
              <w:t xml:space="preserve">0.715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0.644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0.639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0.711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Observaciones: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Context Precision consistentemente alta</w:t>
      </w:r>
      <w:r>
        <w:t xml:space="preserve">: Todos los modelos alcanzan &gt;0.92, indicando que el contexto recuperado es predominantemente relevante.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Context Recall variable</w:t>
      </w:r>
      <w:r>
        <w:t xml:space="preserve">: Ada (0.848) &gt; MPNet (0.844) &gt; E5-Large (0.839) &gt; MiniLM (0.838), correlacionando con el rendimiento en métricas de recuperación tradicionales.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Faithfulness superior de Ada</w:t>
      </w:r>
      <w:r>
        <w:t xml:space="preserve">: Con 0.649, Ada muestra mayor fidelidad al contexto recuperado, indicando respuestas más fundamentadas.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Answer Relevance homogénea</w:t>
      </w:r>
      <w:r>
        <w:t xml:space="preserve">: Todos los modelos alcanzan &gt;0.85, sugiriendo que la generación de respuestas mantiene relevancia independientemente del modelo de embedding.</w:t>
      </w:r>
    </w:p>
    <w:bookmarkEnd w:id="60"/>
    <w:bookmarkStart w:id="61" w:name="métricas-bertscore"/>
    <w:p>
      <w:pPr>
        <w:pStyle w:val="Heading3"/>
      </w:pPr>
      <w:r>
        <w:t xml:space="preserve">7.7.3 Métricas BERTScore</w:t>
      </w:r>
    </w:p>
    <w:p>
      <w:pPr>
        <w:pStyle w:val="FirstParagraph"/>
      </w:pPr>
      <w:r>
        <w:t xml:space="preserve">BERTScore evalúa la similitud semántica entre respuestas generadas y respuestas de referencia mediante embeddings contextuales de BERT.</w:t>
      </w:r>
    </w:p>
    <w:p>
      <w:pPr>
        <w:pStyle w:val="BodyText"/>
      </w:pPr>
      <w:r>
        <w:rPr>
          <w:b/>
          <w:bCs/>
        </w:rPr>
        <w:t xml:space="preserve">Tabla 7.15: BERTScore por Modelo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BERT Precision</w:t>
            </w:r>
          </w:p>
        </w:tc>
        <w:tc>
          <w:tcPr/>
          <w:p>
            <w:pPr>
              <w:pStyle w:val="Compact"/>
            </w:pPr>
            <w:r>
              <w:t xml:space="preserve">BERT Recall</w:t>
            </w:r>
          </w:p>
        </w:tc>
        <w:tc>
          <w:tcPr/>
          <w:p>
            <w:pPr>
              <w:pStyle w:val="Compact"/>
            </w:pPr>
            <w:r>
              <w:t xml:space="preserve">BERT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0.647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MPNet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0.543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E5-Large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MiniLM</w:t>
            </w:r>
          </w:p>
        </w:tc>
        <w:tc>
          <w:tcPr/>
          <w:p>
            <w:pPr>
              <w:pStyle w:val="Compact"/>
            </w:pPr>
            <w:r>
              <w:t xml:space="preserve">0.648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0.589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Observaciones: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BERTScore homogéneo</w:t>
      </w:r>
      <w:r>
        <w:t xml:space="preserve">: Precision ~0.648 y Recall ~0.542 consistentes entre modelos, indicando que las diferencias en recuperación no se amplifican en la generación.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BERT F1 consistente</w:t>
      </w:r>
      <w:r>
        <w:t xml:space="preserve">: Todos los modelos convergen en BERT F1=0.589, mostrando que las diferencias en recuperación no afectan significativamente la calidad semántica de las respuestas generadas.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Complementariedad con métricas de recuperación</w:t>
      </w:r>
      <w:r>
        <w:t xml:space="preserve">: Mientras las métricas de recuperación (Precision, Recall) muestran diferencias significativas entre modelos (19-50%), BERTScore muestra variación mínima (&lt;1%), sugiriendo que el componente de generación compensa parcialmente las diferencias en recuperación.</w:t>
      </w:r>
    </w:p>
    <w:bookmarkEnd w:id="61"/>
    <w:bookmarkStart w:id="62" w:name="interpretación-integrada"/>
    <w:p>
      <w:pPr>
        <w:pStyle w:val="Heading3"/>
      </w:pPr>
      <w:r>
        <w:t xml:space="preserve">7.7.4 Interpretación Integrada</w:t>
      </w:r>
    </w:p>
    <w:p>
      <w:pPr>
        <w:pStyle w:val="FirstParagraph"/>
      </w:pPr>
      <w:r>
        <w:t xml:space="preserve">La evaluación multi-métrica revela:</w:t>
      </w:r>
    </w:p>
    <w:p>
      <w:pPr>
        <w:pStyle w:val="BodyText"/>
      </w:pPr>
      <w:r>
        <w:rPr>
          <w:b/>
          <w:bCs/>
        </w:rPr>
        <w:t xml:space="preserve">Separación de Componentes:</w:t>
      </w:r>
      <w:r>
        <w:t xml:space="preserve"> </w:t>
      </w:r>
      <w:r>
        <w:t xml:space="preserve">- Métricas de recuperación (Precision@k, Recall@k) muestran diferencias significativas entre modelos</w:t>
      </w:r>
      <w:r>
        <w:t xml:space="preserve"> </w:t>
      </w:r>
      <w:r>
        <w:t xml:space="preserve">- Métricas RAG y BERTScore muestran mayor homogeneidad</w:t>
      </w:r>
      <w:r>
        <w:t xml:space="preserve"> </w:t>
      </w:r>
      <w:r>
        <w:t xml:space="preserve">- Esto sugiere que las diferencias en calidad de recuperación no se traducen proporcionalmente en diferencias en calidad de respuesta final</w:t>
      </w:r>
    </w:p>
    <w:p>
      <w:pPr>
        <w:pStyle w:val="BodyText"/>
      </w:pPr>
      <w:r>
        <w:rPr>
          <w:b/>
          <w:bCs/>
        </w:rPr>
        <w:t xml:space="preserve">Implicación Práctica:</w:t>
      </w:r>
      <w:r>
        <w:t xml:space="preserve"> </w:t>
      </w:r>
      <w:r>
        <w:t xml:space="preserve">Para aplicaciones donde la calidad de respuesta es prioritaria sobre la eficiencia de recuperación, modelos open-source como MPNet o MiniLM pueden ofrecer resultados aceptables a menor costo, dado que el componente de generación compensa parcialmente sus limitaciones en recuperación.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39" Target="media/rId39.png" /><Relationship Type="http://schemas.openxmlformats.org/officeDocument/2006/relationships/image" Id="rId15" Target="media/rId15.png" /><Relationship Type="http://schemas.openxmlformats.org/officeDocument/2006/relationships/image" Id="rId43" Target="media/rId43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2025-11-14T18:18:58Z</dcterms:created>
  <dcterms:modified xsi:type="dcterms:W3CDTF">2025-11-14T18:18:58Z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