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nclusiones-y-trabajo-futuro"/>
    <w:p>
      <w:pPr>
        <w:pStyle w:val="Heading1"/>
      </w:pPr>
      <w:r>
        <w:t xml:space="preserve">8. CONCLUSIONES Y TRABAJO FUTURO</w:t>
      </w:r>
    </w:p>
    <w:bookmarkStart w:id="9" w:name="introducción"/>
    <w:p>
      <w:pPr>
        <w:pStyle w:val="Heading2"/>
      </w:pPr>
      <w:r>
        <w:t xml:space="preserve">8.1 Introducción</w:t>
      </w:r>
    </w:p>
    <w:p>
      <w:pPr>
        <w:pStyle w:val="FirstParagraph"/>
      </w:pPr>
      <w:r>
        <w:t xml:space="preserve">Este capítulo sintetiza los hallazgos de la investigación sobre recuperación semántica de información técnica especializada, desarrollada mediante la evaluación experimental de un sistema RAG implementado sobre un corpus de 187,031 documentos de Microsoft Azure. La evaluación procesó 2,067 pares pregunta-documento utilizando ground truth derivado de enlaces incluidos en respuestas comunitarias, un enfoque que reveló tanto logros técnicos significativos como limitaciones metodológicas fundamentales que condicionan la interpretación de los resultados.</w:t>
      </w:r>
    </w:p>
    <w:p>
      <w:pPr>
        <w:pStyle w:val="BodyText"/>
      </w:pPr>
      <w:r>
        <w:t xml:space="preserve">Es importante señalar desde el inicio que el ground truth utilizado, basado en enlaces de documentación incluidos en respuestas comunitarias, presenta una limitación metodológica crítica: no garantiza que dichos documentos respondan efectivamente las preguntas planteadas. Esta limitación fundamental afecta la validez de las métricas de recuperación tradicionales obtenidas, aunque permite validar aspectos técnicos de implementación y establecer comparaciones válidas entre modelos evaluados bajo las mismas condiciones.</w:t>
      </w:r>
    </w:p>
    <w:p>
      <w:pPr>
        <w:pStyle w:val="BodyText"/>
      </w:pPr>
      <w:r>
        <w:t xml:space="preserve">La evaluación cumplió los cinco objetivos técnicos establecidos al inicio de la investigación. Sin embargo, los resultados absolutos de recuperación, con valores de Precision@5 entre 0.053 y 0.098, revelan un rendimiento insuficiente para aplicaciones prácticas. Esta situación probablemente refleja más la calidad limitada del ground truth que fallas intrínsecas de las técnicas de recuperación semántica evaluadas, un hallazgo en sí mismo relevante para la comunidad científica.</w:t>
      </w:r>
    </w:p>
    <w:bookmarkEnd w:id="9"/>
    <w:bookmarkStart w:id="15" w:name="X1e71a4f84eae5c6bdca875ab5f0c94f1908fd46"/>
    <w:p>
      <w:pPr>
        <w:pStyle w:val="Heading2"/>
      </w:pPr>
      <w:r>
        <w:t xml:space="preserve">8.2 Cumplimiento de Objetivos de Investigación</w:t>
      </w:r>
    </w:p>
    <w:bookmarkStart w:id="10" w:name="X9b2fa16fd2990893a763f4096ff5fa014771872"/>
    <w:p>
      <w:pPr>
        <w:pStyle w:val="Heading3"/>
      </w:pPr>
      <w:r>
        <w:t xml:space="preserve">8.2.1 Objetivo 1: Implementación y Comparación de Arquitecturas de Embeddings</w:t>
      </w:r>
    </w:p>
    <w:p>
      <w:pPr>
        <w:pStyle w:val="FirstParagraph"/>
      </w:pPr>
      <w:r>
        <w:t xml:space="preserve">El primer objetivo planteaba implementar y comparar múltiples arquitecturas de embeddings, evaluando tanto modelos de código abierto (MiniLM, MPNet, E5-Large) como propietarios (OpenAI Ada). Este objetivo fue completado técnicamente, implementándose cuatro modelos con dimensionalidades variables entre 384 y 1,536 dimensiones. La evaluación documentó diferencias de rendimiento relativas entre 28% y 46% entre los modelos evaluados.</w:t>
      </w:r>
    </w:p>
    <w:p>
      <w:pPr>
        <w:pStyle w:val="BodyText"/>
      </w:pPr>
      <w:r>
        <w:t xml:space="preserve">La Tabla 8.1 presenta los resultados cuantitativos obtenidos para cada modelo evaluado:</w:t>
      </w:r>
    </w:p>
    <w:tbl>
      <w:tblPr>
        <w:tblStyle w:val="Table"/>
        <w:tblW w:type="pct" w:w="5000"/>
        <w:tblLayout w:type="fixed"/>
        <w:tblLook w:firstRow="1" w:lastRow="0" w:firstColumn="0" w:lastColumn="0" w:noHBand="0" w:noVBand="0" w:val="0020"/>
      </w:tblPr>
      <w:tblGrid>
        <w:gridCol w:w="774"/>
        <w:gridCol w:w="688"/>
        <w:gridCol w:w="516"/>
        <w:gridCol w:w="1377"/>
        <w:gridCol w:w="1119"/>
        <w:gridCol w:w="1635"/>
        <w:gridCol w:w="1807"/>
      </w:tblGrid>
      <w:tr>
        <w:trPr>
          <w:tblHeader w:val="on"/>
        </w:trPr>
        <w:tc>
          <w:tcPr/>
          <w:p>
            <w:pPr>
              <w:pStyle w:val="Compact"/>
            </w:pPr>
            <w:r>
              <w:t xml:space="preserve">Ranking</w:t>
            </w:r>
          </w:p>
        </w:tc>
        <w:tc>
          <w:tcPr/>
          <w:p>
            <w:pPr>
              <w:pStyle w:val="Compact"/>
            </w:pPr>
            <w:r>
              <w:t xml:space="preserve">Modelo</w:t>
            </w:r>
          </w:p>
        </w:tc>
        <w:tc>
          <w:tcPr/>
          <w:p>
            <w:pPr>
              <w:pStyle w:val="Compact"/>
            </w:pPr>
            <w:r>
              <w:t xml:space="preserve">Tipo</w:t>
            </w:r>
          </w:p>
        </w:tc>
        <w:tc>
          <w:tcPr/>
          <w:p>
            <w:pPr>
              <w:pStyle w:val="Compact"/>
            </w:pPr>
            <w:r>
              <w:t xml:space="preserve">Dimensionalidad</w:t>
            </w:r>
          </w:p>
        </w:tc>
        <w:tc>
          <w:tcPr/>
          <w:p>
            <w:pPr>
              <w:pStyle w:val="Compact"/>
            </w:pPr>
            <w:r>
              <w:t xml:space="preserve">Precision@5</w:t>
            </w:r>
          </w:p>
        </w:tc>
        <w:tc>
          <w:tcPr/>
          <w:p>
            <w:pPr>
              <w:pStyle w:val="Compact"/>
            </w:pPr>
            <w:r>
              <w:t xml:space="preserve">Diferencia vs Ada</w:t>
            </w:r>
          </w:p>
        </w:tc>
        <w:tc>
          <w:tcPr/>
          <w:p>
            <w:pPr>
              <w:pStyle w:val="Compact"/>
            </w:pPr>
            <w:r>
              <w:t xml:space="preserve">Eficiencia Relativa*</w:t>
            </w:r>
          </w:p>
        </w:tc>
      </w:tr>
      <w:tr>
        <w:tc>
          <w:tcPr/>
          <w:p>
            <w:pPr>
              <w:pStyle w:val="Compact"/>
            </w:pPr>
            <w:r>
              <w:t xml:space="preserve">1</w:t>
            </w:r>
          </w:p>
        </w:tc>
        <w:tc>
          <w:tcPr/>
          <w:p>
            <w:pPr>
              <w:pStyle w:val="Compact"/>
            </w:pPr>
            <w:r>
              <w:t xml:space="preserve">Ada</w:t>
            </w:r>
          </w:p>
        </w:tc>
        <w:tc>
          <w:tcPr/>
          <w:p>
            <w:pPr>
              <w:pStyle w:val="Compact"/>
            </w:pPr>
            <w:r>
              <w:t xml:space="preserve">Propietario</w:t>
            </w:r>
          </w:p>
        </w:tc>
        <w:tc>
          <w:tcPr/>
          <w:p>
            <w:pPr>
              <w:pStyle w:val="Compact"/>
            </w:pPr>
            <w:r>
              <w:t xml:space="preserve">1,536</w:t>
            </w:r>
          </w:p>
        </w:tc>
        <w:tc>
          <w:tcPr/>
          <w:p>
            <w:pPr>
              <w:pStyle w:val="Compact"/>
            </w:pPr>
            <w:r>
              <w:t xml:space="preserve">0.098</w:t>
            </w:r>
          </w:p>
        </w:tc>
        <w:tc>
          <w:tcPr/>
          <w:p>
            <w:pPr>
              <w:pStyle w:val="Compact"/>
            </w:pPr>
            <w:r>
              <w:t xml:space="preserve">-</w:t>
            </w:r>
          </w:p>
        </w:tc>
        <w:tc>
          <w:tcPr/>
          <w:p>
            <w:pPr>
              <w:pStyle w:val="Compact"/>
            </w:pPr>
            <w:r>
              <w:t xml:space="preserve">Baseline (100%)</w:t>
            </w:r>
          </w:p>
        </w:tc>
      </w:tr>
      <w:tr>
        <w:tc>
          <w:tcPr/>
          <w:p>
            <w:pPr>
              <w:pStyle w:val="Compact"/>
            </w:pPr>
            <w:r>
              <w:t xml:space="preserve">2</w:t>
            </w:r>
          </w:p>
        </w:tc>
        <w:tc>
          <w:tcPr/>
          <w:p>
            <w:pPr>
              <w:pStyle w:val="Compact"/>
            </w:pPr>
            <w:r>
              <w:t xml:space="preserve">MPNet</w:t>
            </w:r>
          </w:p>
        </w:tc>
        <w:tc>
          <w:tcPr/>
          <w:p>
            <w:pPr>
              <w:pStyle w:val="Compact"/>
            </w:pPr>
            <w:r>
              <w:t xml:space="preserve">Open-source</w:t>
            </w:r>
          </w:p>
        </w:tc>
        <w:tc>
          <w:tcPr/>
          <w:p>
            <w:pPr>
              <w:pStyle w:val="Compact"/>
            </w:pPr>
            <w:r>
              <w:t xml:space="preserve">768</w:t>
            </w:r>
          </w:p>
        </w:tc>
        <w:tc>
          <w:tcPr/>
          <w:p>
            <w:pPr>
              <w:pStyle w:val="Compact"/>
            </w:pPr>
            <w:r>
              <w:t xml:space="preserve">0.070</w:t>
            </w:r>
          </w:p>
        </w:tc>
        <w:tc>
          <w:tcPr/>
          <w:p>
            <w:pPr>
              <w:pStyle w:val="Compact"/>
            </w:pPr>
            <w:r>
              <w:t xml:space="preserve">-28.6%</w:t>
            </w:r>
          </w:p>
        </w:tc>
        <w:tc>
          <w:tcPr/>
          <w:p>
            <w:pPr>
              <w:pStyle w:val="Compact"/>
            </w:pPr>
            <w:r>
              <w:t xml:space="preserve">71.4% con 50% dimensiones</w:t>
            </w:r>
          </w:p>
        </w:tc>
      </w:tr>
      <w:tr>
        <w:tc>
          <w:tcPr/>
          <w:p>
            <w:pPr>
              <w:pStyle w:val="Compact"/>
            </w:pPr>
            <w:r>
              <w:t xml:space="preserve">3</w:t>
            </w:r>
          </w:p>
        </w:tc>
        <w:tc>
          <w:tcPr/>
          <w:p>
            <w:pPr>
              <w:pStyle w:val="Compact"/>
            </w:pPr>
            <w:r>
              <w:t xml:space="preserve">E5-Large</w:t>
            </w:r>
          </w:p>
        </w:tc>
        <w:tc>
          <w:tcPr/>
          <w:p>
            <w:pPr>
              <w:pStyle w:val="Compact"/>
            </w:pPr>
            <w:r>
              <w:t xml:space="preserve">Open-source</w:t>
            </w:r>
          </w:p>
        </w:tc>
        <w:tc>
          <w:tcPr/>
          <w:p>
            <w:pPr>
              <w:pStyle w:val="Compact"/>
            </w:pPr>
            <w:r>
              <w:t xml:space="preserve">1,024</w:t>
            </w:r>
          </w:p>
        </w:tc>
        <w:tc>
          <w:tcPr/>
          <w:p>
            <w:pPr>
              <w:pStyle w:val="Compact"/>
            </w:pPr>
            <w:r>
              <w:t xml:space="preserve">0.065</w:t>
            </w:r>
          </w:p>
        </w:tc>
        <w:tc>
          <w:tcPr/>
          <w:p>
            <w:pPr>
              <w:pStyle w:val="Compact"/>
            </w:pPr>
            <w:r>
              <w:t xml:space="preserve">-33.7%</w:t>
            </w:r>
          </w:p>
        </w:tc>
        <w:tc>
          <w:tcPr/>
          <w:p>
            <w:pPr>
              <w:pStyle w:val="Compact"/>
            </w:pPr>
            <w:r>
              <w:t xml:space="preserve">66.3% con 67% dimensiones</w:t>
            </w:r>
          </w:p>
        </w:tc>
      </w:tr>
      <w:tr>
        <w:tc>
          <w:tcPr/>
          <w:p>
            <w:pPr>
              <w:pStyle w:val="Compact"/>
            </w:pPr>
            <w:r>
              <w:t xml:space="preserve">4</w:t>
            </w:r>
          </w:p>
        </w:tc>
        <w:tc>
          <w:tcPr/>
          <w:p>
            <w:pPr>
              <w:pStyle w:val="Compact"/>
            </w:pPr>
            <w:r>
              <w:t xml:space="preserve">MiniLM</w:t>
            </w:r>
          </w:p>
        </w:tc>
        <w:tc>
          <w:tcPr/>
          <w:p>
            <w:pPr>
              <w:pStyle w:val="Compact"/>
            </w:pPr>
            <w:r>
              <w:t xml:space="preserve">Open-source</w:t>
            </w:r>
          </w:p>
        </w:tc>
        <w:tc>
          <w:tcPr/>
          <w:p>
            <w:pPr>
              <w:pStyle w:val="Compact"/>
            </w:pPr>
            <w:r>
              <w:t xml:space="preserve">384</w:t>
            </w:r>
          </w:p>
        </w:tc>
        <w:tc>
          <w:tcPr/>
          <w:p>
            <w:pPr>
              <w:pStyle w:val="Compact"/>
            </w:pPr>
            <w:r>
              <w:t xml:space="preserve">0.053</w:t>
            </w:r>
          </w:p>
        </w:tc>
        <w:tc>
          <w:tcPr/>
          <w:p>
            <w:pPr>
              <w:pStyle w:val="Compact"/>
            </w:pPr>
            <w:r>
              <w:t xml:space="preserve">-45.9%</w:t>
            </w:r>
          </w:p>
        </w:tc>
        <w:tc>
          <w:tcPr/>
          <w:p>
            <w:pPr>
              <w:pStyle w:val="Compact"/>
            </w:pPr>
            <w:r>
              <w:t xml:space="preserve">54.1% con 25% dimensiones</w:t>
            </w:r>
          </w:p>
        </w:tc>
      </w:tr>
    </w:tbl>
    <w:p>
      <w:pPr>
        <w:pStyle w:val="BodyText"/>
      </w:pPr>
      <w:r>
        <w:rPr>
          <w:b/>
          <w:bCs/>
        </w:rPr>
        <w:t xml:space="preserve">Tabla 8.1</w:t>
      </w:r>
      <w:r>
        <w:t xml:space="preserve">: Rendimiento comparativo y eficiencia relativa de modelos de embeddings evaluados</w:t>
      </w:r>
      <w:r>
        <w:t xml:space="preserve"> </w:t>
      </w:r>
      <w:r>
        <w:t xml:space="preserve">*Eficiencia relativa = (Precision@5 del modelo / Precision@5 de Ada) × 100</w:t>
      </w:r>
    </w:p>
    <w:p>
      <w:pPr>
        <w:pStyle w:val="BodyText"/>
      </w:pPr>
      <w:r>
        <w:t xml:space="preserve">Si bien estos valores absolutos son insuficientes para aplicaciones prácticas, las diferencias relativas entre modelos constituyen hallazgos válidos que permiten establecer una jerarquía de rendimiento en el contexto evaluado. Particularmente notable es la eficiencia relativa de MPNet, que alcanza 71% del rendimiento de Ada utilizando solo la mitad de dimensiones, un trade-off relevante para aplicaciones con restricciones de recursos.</w:t>
      </w:r>
    </w:p>
    <w:p>
      <w:pPr>
        <w:pStyle w:val="BodyText"/>
      </w:pPr>
      <w:r>
        <w:t xml:space="preserve">La interpretación crítica de estos resultados sugiere que el sistema recupera documentos relevantes en solo 5-10% de los casos en el top-5, un rendimiento claramente insuficiente. Sin embargo, la discrepancia con las métricas semánticas obtenidas (significativamente superiores, ver sección 8.2.4) sugiere limitaciones en la metodología de evaluación.</w:t>
      </w:r>
    </w:p>
    <w:bookmarkEnd w:id="10"/>
    <w:bookmarkStart w:id="11" w:name="X341013a868953b1716a588a150a5958c33db785"/>
    <w:p>
      <w:pPr>
        <w:pStyle w:val="Heading3"/>
      </w:pPr>
      <w:r>
        <w:t xml:space="preserve">8.2.2 Objetivo 2: Sistema de Almacenamiento y Recuperación Vectorial</w:t>
      </w:r>
    </w:p>
    <w:p>
      <w:pPr>
        <w:pStyle w:val="FirstParagraph"/>
      </w:pPr>
      <w:r>
        <w:t xml:space="preserve">El segundo objetivo consistía en diseñar un sistema de almacenamiento y recuperación vectorial utilizando ChromaDB, configurando índices optimizados para búsquedas de similitud semántica a escala. Este objetivo fue completado satisfactoriamente mediante la implementación de ChromaDB 0.5.23 con ocho colecciones especializadas que almacenan 187,031 documentos y 13,436 preguntas por modelo, totalizando más de 800,000 vectores.</w:t>
      </w:r>
    </w:p>
    <w:p>
      <w:pPr>
        <w:pStyle w:val="BodyText"/>
      </w:pPr>
      <w:r>
        <w:t xml:space="preserve">El sistema demostró escalabilidad técnica y rendimiento consistente a lo largo de toda la evaluación. Las especificaciones técnicas validadas incluyen almacenamiento eficiente para cuatro modelos con 187,031 documentos cada uno, latencia promedio inferior a 100 milisegundos por consulta vectorial, y soporte simultáneo para múltiples dimensionalidades. Un logro técnico importante es que la infraestructura funciona correctamente, confirmando que los resultados bajos obtenidos en las métricas de recuperación no se deben a fallas del sistema de almacenamiento vectorial, sino a otros factores metodológicos.</w:t>
      </w:r>
    </w:p>
    <w:bookmarkEnd w:id="11"/>
    <w:bookmarkStart w:id="12" w:name="X590ba44ad1645ec520d3ff412c6d547d5f81e85"/>
    <w:p>
      <w:pPr>
        <w:pStyle w:val="Heading3"/>
      </w:pPr>
      <w:r>
        <w:t xml:space="preserve">8.2.3 Objetivo 3: Mecanismos Avanzados de Reranking</w:t>
      </w:r>
    </w:p>
    <w:p>
      <w:pPr>
        <w:pStyle w:val="FirstParagraph"/>
      </w:pPr>
      <w:r>
        <w:t xml:space="preserve">El tercer objetivo planteaba desarrollar mecanismos avanzados de reranking implementando CrossEncoders especializados y técnicas de normalización. Este objetivo fue completado mediante la implementación de CrossEncoder ms-marco-MiniLM-L-6-v2 con normalización Min-Max, lo que permitió identificar un patrón de efectividad diferencial particularmente relevante.</w:t>
      </w:r>
    </w:p>
    <w:p>
      <w:pPr>
        <w:pStyle w:val="BodyText"/>
      </w:pPr>
      <w:r>
        <w:t xml:space="preserve">El patrón descubierto muestra que el reranking mejora el rendimiento de modelos débiles (MiniLM +13.6%) mientras que degrada modelos ya optimizados (Ada -16.7%), con impactos neutros en MPNet y E5-Large (±5%). Este hallazgo técnico es robusto e independiente de la calidad del ground truth, ya que representa comportamiento comparativo consistente entre configuraciones. El análisis detallado de este patrón y sus implicaciones arquitectónicas se presenta en la sección 8.3.3.</w:t>
      </w:r>
    </w:p>
    <w:bookmarkEnd w:id="12"/>
    <w:bookmarkStart w:id="13" w:name="X8dbbdcefc07bbff87be72b18c3d57242f0d7963"/>
    <w:p>
      <w:pPr>
        <w:pStyle w:val="Heading3"/>
      </w:pPr>
      <w:r>
        <w:t xml:space="preserve">8.2.4 Objetivo 4: Evaluación Sistemática del Rendimiento</w:t>
      </w:r>
    </w:p>
    <w:p>
      <w:pPr>
        <w:pStyle w:val="FirstParagraph"/>
      </w:pPr>
      <w:r>
        <w:t xml:space="preserve">El cuarto objetivo consistía en evaluar sistemáticamente el rendimiento mediante métricas tradicionales de recuperación y métricas específicas para sistemas RAG. Este objetivo fue completado calculando seis métricas tradicionales (Precision, Recall, F1, NDCG, MAP, MRR) para valores de k entre 1 y 15, tanto en etapas previas como posteriores al reranking. Estas métricas fueron complementadas con seis métricas RAGAS (Faithfulness, Answer Relevance, Answer Correctness, Context Precision, Context Recall, Semantic Similarity) y tres métricas BERTScore (Precision, Recall, F1).</w:t>
      </w:r>
    </w:p>
    <w:p>
      <w:pPr>
        <w:pStyle w:val="BodyText"/>
      </w:pPr>
      <w:r>
        <w:t xml:space="preserve">Un hallazgo clave emergió del análisis multi-métrico: las métricas RAG mostraron valores sustancialmente superiores (Faithfulness superior a 0.69, BERTScore superior a 0.54) en comparación con las métricas de recuperación tradicionales (Precision@5 inferior a 0.10). Esta discrepancia sugiere que el ground truth utilizado puede ser demasiado restrictivo y que los sistemas recuperan documentos semánticamente útiles que no son reconocidos como relevantes por la metodología de evaluación empleada (ver sección 8.3.1 para análisis detallado).</w:t>
      </w:r>
    </w:p>
    <w:bookmarkEnd w:id="13"/>
    <w:bookmarkStart w:id="14" w:name="Xdb16ac15c579f92bcc86d01ef0cdb7efba1b630"/>
    <w:p>
      <w:pPr>
        <w:pStyle w:val="Heading3"/>
      </w:pPr>
      <w:r>
        <w:t xml:space="preserve">8.2.5 Objetivo 5: Metodología Reproducible y Extensible</w:t>
      </w:r>
    </w:p>
    <w:p>
      <w:pPr>
        <w:pStyle w:val="FirstParagraph"/>
      </w:pPr>
      <w:r>
        <w:t xml:space="preserve">El quinto y último objetivo planteaba establecer una metodología reproducible y extensible, documentando el proceso de implementación y creando pipelines automatizados de evaluación. Este objetivo fue completado mediante el desarrollo de un pipeline automatizado completo que proporciona trazabilidad completa de resultados, materializada en un archivo de 135 MB con 2,067 evaluaciones detalladas.</w:t>
      </w:r>
    </w:p>
    <w:p>
      <w:pPr>
        <w:pStyle w:val="BodyText"/>
      </w:pPr>
      <w:r>
        <w:t xml:space="preserve">El pipeline desarrollado es técnicamente robusto y reproducible, independientemente de las limitaciones del ground truth utilizado. Esta infraestructura metodológica constituye una contribución valiosa que facilita la replicación y extensión de la investigación por parte de otros equipos, permitiendo además la validación independiente de los hallazgos reportados.</w:t>
      </w:r>
    </w:p>
    <w:bookmarkEnd w:id="14"/>
    <w:bookmarkEnd w:id="15"/>
    <w:bookmarkStart w:id="22" w:name="conclusiones-principales"/>
    <w:p>
      <w:pPr>
        <w:pStyle w:val="Heading2"/>
      </w:pPr>
      <w:r>
        <w:t xml:space="preserve">8.3 Conclusiones Principales</w:t>
      </w:r>
    </w:p>
    <w:bookmarkStart w:id="16" w:name="X69b76fabb35e948a439426812fd08b58c75aa41"/>
    <w:p>
      <w:pPr>
        <w:pStyle w:val="Heading3"/>
      </w:pPr>
      <w:r>
        <w:t xml:space="preserve">8.3.1 Rendimiento Insuficiente Condicionado por Limitaciones del Ground Truth</w:t>
      </w:r>
    </w:p>
    <w:p>
      <w:pPr>
        <w:pStyle w:val="FirstParagraph"/>
      </w:pPr>
      <w:r>
        <w:t xml:space="preserve">La investigación reveló que los resultados de recuperación son insuficientes para aplicaciones prácticas, con una Precision@5 máxima de 0.098 alcanzada por Ada. Sin embargo, esta conclusión está fuertemente condicionada por la calidad del ground truth utilizado, lo que constituye un hallazgo metodológico importante en sí mismo.</w:t>
      </w:r>
    </w:p>
    <w:p>
      <w:pPr>
        <w:pStyle w:val="BodyText"/>
      </w:pPr>
      <w:r>
        <w:t xml:space="preserve">El ground truth basado en enlaces de documentación incluidos en respuestas comunitarias presenta una limitación metodológica fundamental: asume sin validación que dichos documentos efectivamente responden las preguntas planteadas. En la práctica, los enlaces pueden ser referencias complementarias más que respuestas directas, las respuestas comunitarias pueden incluir múltiples enlaces no todos igualmente relevantes, y no existe validación experta de la correspondencia real entre preguntas y documentos.</w:t>
      </w:r>
    </w:p>
    <w:p>
      <w:pPr>
        <w:pStyle w:val="BodyText"/>
      </w:pPr>
      <w:r>
        <w:t xml:space="preserve">El contraste entre métricas es revelador: mientras la recuperación tradicional muestra valores de Precision@5 entre 0.053 y 0.098 (muy bajos), las métricas semánticas muestran valores significativamente superiores, con Faithfulness entre 0.694 y 0.730, y BERTScore F1 entre 0.585 y 0.619 (moderado-altos). Esta discrepancia sugiere que los sistemas recuperan documentos semánticamente relevantes que no son reconocidos como tales por el ground truth restrictivo, lo que implica que los valores bajos pueden reflejar más las limitaciones del método de evaluación que fallas reales en las técnicas de recuperación semántica.</w:t>
      </w:r>
    </w:p>
    <w:p>
      <w:pPr>
        <w:pStyle w:val="BodyText"/>
      </w:pPr>
      <w:r>
        <w:t xml:space="preserve">La implicación crítica de este hallazgo es que los resultados cuantitativos reportados no deben interpretarse como evidencia de inefectividad de la recuperación semántica. Por el contrario, constituyen evidencia de la necesidad de metodologías de evaluación más rigurosas que incorporen validación humana experta para establecer ground truth verdaderamente confiable.</w:t>
      </w:r>
    </w:p>
    <w:bookmarkEnd w:id="16"/>
    <w:bookmarkStart w:id="17" w:name="Xbaaf439367c4452573bf4833df4b508cd5db1b5"/>
    <w:p>
      <w:pPr>
        <w:pStyle w:val="Heading3"/>
      </w:pPr>
      <w:r>
        <w:t xml:space="preserve">8.3.2 Jerarquía de Modelos Válida en Términos Comparativos</w:t>
      </w:r>
    </w:p>
    <w:p>
      <w:pPr>
        <w:pStyle w:val="FirstParagraph"/>
      </w:pPr>
      <w:r>
        <w:t xml:space="preserve">A pesar de las limitaciones identificadas en el ground truth, las diferencias relativas entre modelos constituyen hallazgos válidos, dado que todos fueron evaluados bajo las mismas condiciones experimentales. Como se detalla en la Tabla 8.1 (sección 8.2.1), el ranking confirmado establece a Ada como líder, seguido por MPNet, E5-Large y MiniLM, con diferencias de rendimiento de 28-46% respecto al modelo superior.</w:t>
      </w:r>
    </w:p>
    <w:p>
      <w:pPr>
        <w:pStyle w:val="BodyText"/>
      </w:pPr>
      <w:r>
        <w:t xml:space="preserve">Estos hallazgos técnicos robustos sobre comportamiento comparativo son válidos independientemente de los valores absolutos obtenidos. Esto permite concluir con confianza que Ada es superior a los modelos open-source en el contexto evaluado, aunque ninguno alcance rendimiento suficiente para producción según las métricas obtenidas con el ground truth utilizado.</w:t>
      </w:r>
    </w:p>
    <w:bookmarkEnd w:id="17"/>
    <w:bookmarkStart w:id="18" w:name="Xeb86d548e41a5fade54124caa5006a76c85abda"/>
    <w:p>
      <w:pPr>
        <w:pStyle w:val="Heading3"/>
      </w:pPr>
      <w:r>
        <w:t xml:space="preserve">8.3.3 Patrón de Reranking Diferencial con Implicaciones Arquitectónicas</w:t>
      </w:r>
    </w:p>
    <w:p>
      <w:pPr>
        <w:pStyle w:val="FirstParagraph"/>
      </w:pPr>
      <w:r>
        <w:t xml:space="preserve">El patrón de reranking diferencial identificado constituye un hallazgo técnico robusto y reproducible con importantes implicaciones arquitectónicas. La Tabla 8.2 presenta el impacto del reranking con CrossEncoder sobre cada modelo:</w:t>
      </w:r>
    </w:p>
    <w:tbl>
      <w:tblPr>
        <w:tblStyle w:val="Table"/>
        <w:tblW w:type="pct" w:w="5000"/>
        <w:tblLayout w:type="fixed"/>
        <w:tblLook w:firstRow="1" w:lastRow="0" w:firstColumn="0" w:lastColumn="0" w:noHBand="0" w:noVBand="0" w:val="0020"/>
      </w:tblPr>
      <w:tblGrid>
        <w:gridCol w:w="674"/>
        <w:gridCol w:w="1263"/>
        <w:gridCol w:w="1348"/>
        <w:gridCol w:w="1432"/>
        <w:gridCol w:w="1432"/>
        <w:gridCol w:w="1769"/>
      </w:tblGrid>
      <w:tr>
        <w:trPr>
          <w:tblHeader w:val="on"/>
        </w:trPr>
        <w:tc>
          <w:tcPr/>
          <w:p>
            <w:pPr>
              <w:pStyle w:val="Compact"/>
            </w:pPr>
            <w:r>
              <w:t xml:space="preserve">Modelo</w:t>
            </w:r>
          </w:p>
        </w:tc>
        <w:tc>
          <w:tcPr/>
          <w:p>
            <w:pPr>
              <w:pStyle w:val="Compact"/>
            </w:pPr>
            <w:r>
              <w:t xml:space="preserve">Pre-Reranking</w:t>
            </w:r>
          </w:p>
        </w:tc>
        <w:tc>
          <w:tcPr/>
          <w:p>
            <w:pPr>
              <w:pStyle w:val="Compact"/>
            </w:pPr>
            <w:r>
              <w:t xml:space="preserve">Post-Reranking</w:t>
            </w:r>
          </w:p>
        </w:tc>
        <w:tc>
          <w:tcPr/>
          <w:p>
            <w:pPr>
              <w:pStyle w:val="Compact"/>
            </w:pPr>
            <w:r>
              <w:t xml:space="preserve">Cambio Absoluto</w:t>
            </w:r>
          </w:p>
        </w:tc>
        <w:tc>
          <w:tcPr/>
          <w:p>
            <w:pPr>
              <w:pStyle w:val="Compact"/>
            </w:pPr>
            <w:r>
              <w:t xml:space="preserve">Cambio Relativo</w:t>
            </w:r>
          </w:p>
        </w:tc>
        <w:tc>
          <w:tcPr/>
          <w:p>
            <w:pPr>
              <w:pStyle w:val="Compact"/>
            </w:pPr>
            <w:r>
              <w:t xml:space="preserve">Categoría de Impacto</w:t>
            </w:r>
          </w:p>
        </w:tc>
      </w:tr>
      <w:tr>
        <w:tc>
          <w:tcPr/>
          <w:p>
            <w:pPr>
              <w:pStyle w:val="Compact"/>
            </w:pPr>
            <w:r>
              <w:t xml:space="preserve">MiniLM</w:t>
            </w:r>
          </w:p>
        </w:tc>
        <w:tc>
          <w:tcPr/>
          <w:p>
            <w:pPr>
              <w:pStyle w:val="Compact"/>
            </w:pPr>
            <w:r>
              <w:t xml:space="preserve">0.053</w:t>
            </w:r>
          </w:p>
        </w:tc>
        <w:tc>
          <w:tcPr/>
          <w:p>
            <w:pPr>
              <w:pStyle w:val="Compact"/>
            </w:pPr>
            <w:r>
              <w:t xml:space="preserve">0.060</w:t>
            </w:r>
          </w:p>
        </w:tc>
        <w:tc>
          <w:tcPr/>
          <w:p>
            <w:pPr>
              <w:pStyle w:val="Compact"/>
            </w:pPr>
            <w:r>
              <w:t xml:space="preserve">+0.007</w:t>
            </w:r>
          </w:p>
        </w:tc>
        <w:tc>
          <w:tcPr/>
          <w:p>
            <w:pPr>
              <w:pStyle w:val="Compact"/>
            </w:pPr>
            <w:r>
              <w:t xml:space="preserve">+13.6%</w:t>
            </w:r>
          </w:p>
        </w:tc>
        <w:tc>
          <w:tcPr/>
          <w:p>
            <w:pPr>
              <w:pStyle w:val="Compact"/>
            </w:pPr>
            <w:r>
              <w:t xml:space="preserve">Beneficio significativo</w:t>
            </w:r>
          </w:p>
        </w:tc>
      </w:tr>
      <w:tr>
        <w:tc>
          <w:tcPr/>
          <w:p>
            <w:pPr>
              <w:pStyle w:val="Compact"/>
            </w:pPr>
            <w:r>
              <w:t xml:space="preserve">MPNet</w:t>
            </w:r>
          </w:p>
        </w:tc>
        <w:tc>
          <w:tcPr/>
          <w:p>
            <w:pPr>
              <w:pStyle w:val="Compact"/>
            </w:pPr>
            <w:r>
              <w:t xml:space="preserve">0.070</w:t>
            </w:r>
          </w:p>
        </w:tc>
        <w:tc>
          <w:tcPr/>
          <w:p>
            <w:pPr>
              <w:pStyle w:val="Compact"/>
            </w:pPr>
            <w:r>
              <w:t xml:space="preserve">0.073</w:t>
            </w:r>
          </w:p>
        </w:tc>
        <w:tc>
          <w:tcPr/>
          <w:p>
            <w:pPr>
              <w:pStyle w:val="Compact"/>
            </w:pPr>
            <w:r>
              <w:t xml:space="preserve">+0.003</w:t>
            </w:r>
          </w:p>
        </w:tc>
        <w:tc>
          <w:tcPr/>
          <w:p>
            <w:pPr>
              <w:pStyle w:val="Compact"/>
            </w:pPr>
            <w:r>
              <w:t xml:space="preserve">+4.3%</w:t>
            </w:r>
          </w:p>
        </w:tc>
        <w:tc>
          <w:tcPr/>
          <w:p>
            <w:pPr>
              <w:pStyle w:val="Compact"/>
            </w:pPr>
            <w:r>
              <w:t xml:space="preserve">Neutro (mejora leve)</w:t>
            </w:r>
          </w:p>
        </w:tc>
      </w:tr>
      <w:tr>
        <w:tc>
          <w:tcPr/>
          <w:p>
            <w:pPr>
              <w:pStyle w:val="Compact"/>
            </w:pPr>
            <w:r>
              <w:t xml:space="preserve">E5-Large</w:t>
            </w:r>
          </w:p>
        </w:tc>
        <w:tc>
          <w:tcPr/>
          <w:p>
            <w:pPr>
              <w:pStyle w:val="Compact"/>
            </w:pPr>
            <w:r>
              <w:t xml:space="preserve">0.065</w:t>
            </w:r>
          </w:p>
        </w:tc>
        <w:tc>
          <w:tcPr/>
          <w:p>
            <w:pPr>
              <w:pStyle w:val="Compact"/>
            </w:pPr>
            <w:r>
              <w:t xml:space="preserve">0.062</w:t>
            </w:r>
          </w:p>
        </w:tc>
        <w:tc>
          <w:tcPr/>
          <w:p>
            <w:pPr>
              <w:pStyle w:val="Compact"/>
            </w:pPr>
            <w:r>
              <w:t xml:space="preserve">-0.003</w:t>
            </w:r>
          </w:p>
        </w:tc>
        <w:tc>
          <w:tcPr/>
          <w:p>
            <w:pPr>
              <w:pStyle w:val="Compact"/>
            </w:pPr>
            <w:r>
              <w:t xml:space="preserve">-4.6%</w:t>
            </w:r>
          </w:p>
        </w:tc>
        <w:tc>
          <w:tcPr/>
          <w:p>
            <w:pPr>
              <w:pStyle w:val="Compact"/>
            </w:pPr>
            <w:r>
              <w:t xml:space="preserve">Neutro (degradación leve)</w:t>
            </w:r>
          </w:p>
        </w:tc>
      </w:tr>
      <w:tr>
        <w:tc>
          <w:tcPr/>
          <w:p>
            <w:pPr>
              <w:pStyle w:val="Compact"/>
            </w:pPr>
            <w:r>
              <w:t xml:space="preserve">Ada</w:t>
            </w:r>
          </w:p>
        </w:tc>
        <w:tc>
          <w:tcPr/>
          <w:p>
            <w:pPr>
              <w:pStyle w:val="Compact"/>
            </w:pPr>
            <w:r>
              <w:t xml:space="preserve">0.098</w:t>
            </w:r>
          </w:p>
        </w:tc>
        <w:tc>
          <w:tcPr/>
          <w:p>
            <w:pPr>
              <w:pStyle w:val="Compact"/>
            </w:pPr>
            <w:r>
              <w:t xml:space="preserve">0.082</w:t>
            </w:r>
          </w:p>
        </w:tc>
        <w:tc>
          <w:tcPr/>
          <w:p>
            <w:pPr>
              <w:pStyle w:val="Compact"/>
            </w:pPr>
            <w:r>
              <w:t xml:space="preserve">-0.016</w:t>
            </w:r>
          </w:p>
        </w:tc>
        <w:tc>
          <w:tcPr/>
          <w:p>
            <w:pPr>
              <w:pStyle w:val="Compact"/>
            </w:pPr>
            <w:r>
              <w:t xml:space="preserve">-16.7%</w:t>
            </w:r>
          </w:p>
        </w:tc>
        <w:tc>
          <w:tcPr/>
          <w:p>
            <w:pPr>
              <w:pStyle w:val="Compact"/>
            </w:pPr>
            <w:r>
              <w:t xml:space="preserve">Degradación significativa</w:t>
            </w:r>
          </w:p>
        </w:tc>
      </w:tr>
    </w:tbl>
    <w:p>
      <w:pPr>
        <w:pStyle w:val="BodyText"/>
      </w:pPr>
      <w:r>
        <w:rPr>
          <w:b/>
          <w:bCs/>
        </w:rPr>
        <w:t xml:space="preserve">Tabla 8.2</w:t>
      </w:r>
      <w:r>
        <w:t xml:space="preserve">: Impacto del reranking con CrossEncoder sobre Precision@5 por modelo</w:t>
      </w:r>
    </w:p>
    <w:p>
      <w:pPr>
        <w:pStyle w:val="BodyText"/>
      </w:pPr>
      <w:r>
        <w:t xml:space="preserve">Este patrón revela un principio técnico importante: el reranking beneficia modelos de recuperación inicial débil pero puede degradar modelos cuya recuperación inicial ya está optimizada. La validez de este hallazgo es independiente de la calidad del ground truth, ya que representa comportamiento comparativo interno consistente entre diferentes configuraciones experimentales. Este descubrimiento tiene implicaciones prácticas para el diseño de arquitecturas RAG, sugiriendo que la aplicación de reranking debe ser selectiva y basada en las características del modelo de embedding utilizado.</w:t>
      </w:r>
    </w:p>
    <w:bookmarkEnd w:id="18"/>
    <w:bookmarkStart w:id="19" w:name="X024fe04664afda6219398f7550461bab668a0cd"/>
    <w:p>
      <w:pPr>
        <w:pStyle w:val="Heading3"/>
      </w:pPr>
      <w:r>
        <w:t xml:space="preserve">8.3.4 Convergencia Semántica Independiente del Rendimiento de Recuperación</w:t>
      </w:r>
    </w:p>
    <w:p>
      <w:pPr>
        <w:pStyle w:val="FirstParagraph"/>
      </w:pPr>
      <w:r>
        <w:t xml:space="preserve">Un hallazgo particularmente interesante es que todos los modelos convergen en métricas semánticas, mostrando valores de Faithfulness entre 0.694 y 0.730, y BERTScore entre 0.585 y 0.619, independientemente de su rendimiento en recuperación exacta. Modelos con Precision@5 muy diferentes (0.053 versus 0.098) producen respuestas de calidad semántica similar.</w:t>
      </w:r>
    </w:p>
    <w:p>
      <w:pPr>
        <w:pStyle w:val="BodyText"/>
      </w:pPr>
      <w:r>
        <w:t xml:space="preserve">Este fenómeno sugiere tres conclusiones importantes. Primero, que las métricas de recuperación tradicionales pueden subestimar la utilidad práctica de los sistemas evaluados. Segundo, que el componente de generación en sistemas RAG compensa parcialmente las limitaciones en recuperación, produciendo respuestas de calidad comparable incluso cuando la recuperación inicial es diferente. Tercero, que la evaluación de sistemas RAG requiere métricas multi-dimensionales que capturen tanto la calidad de recuperación como la calidad de generación.</w:t>
      </w:r>
    </w:p>
    <w:p>
      <w:pPr>
        <w:pStyle w:val="BodyText"/>
      </w:pPr>
      <w:r>
        <w:t xml:space="preserve">La implicación práctica es que la calidad de respuesta final puede ser aceptable incluso con recuperación aparentemente deficiente, dependiendo del contexto de aplicación específico. Esto abre posibilidades interesantes para el uso de modelos más eficientes en escenarios donde la calidad semántica final es más importante que la precisión exacta de recuperación.</w:t>
      </w:r>
    </w:p>
    <w:bookmarkEnd w:id="19"/>
    <w:bookmarkStart w:id="20" w:name="X83a2ab5f1b3c2c252470e33dbdfd61d179832cc"/>
    <w:p>
      <w:pPr>
        <w:pStyle w:val="Heading3"/>
      </w:pPr>
      <w:r>
        <w:t xml:space="preserve">8.3.5 Necesidad de Validación Humana en Evaluaciones Futuras</w:t>
      </w:r>
    </w:p>
    <w:p>
      <w:pPr>
        <w:pStyle w:val="FirstParagraph"/>
      </w:pPr>
      <w:r>
        <w:t xml:space="preserve">La investigación reveló la necesidad fundamental de incorporar evaluación humana experta en la validación de sistemas de recuperación de información técnica especializada. Como se discutió en la sección 8.3.1, el contraste marcado entre métricas de recuperación (bajas) y semánticas (moderado-altas) hace imposible distinguir entre fallas reales del sistema y limitaciones del ground truth.</w:t>
      </w:r>
    </w:p>
    <w:p>
      <w:pPr>
        <w:pStyle w:val="BodyText"/>
      </w:pPr>
      <w:r>
        <w:t xml:space="preserve">Para futuras investigaciones, se recomienda validación por expertos del dominio técnico capaces de juzgar la relevancia real de documentos en contextos especializados. Este enfoque, aunque más costoso, es esencial para establecer ground truth verdaderamente confiable.</w:t>
      </w:r>
    </w:p>
    <w:bookmarkEnd w:id="20"/>
    <w:bookmarkStart w:id="21" w:name="X8df9bd9bc0e4cb4df0b63b8bc23b533925dba07"/>
    <w:p>
      <w:pPr>
        <w:pStyle w:val="Heading3"/>
      </w:pPr>
      <w:r>
        <w:t xml:space="preserve">8.3.6 Eficiencia Relativa de Modelos Open-Source</w:t>
      </w:r>
    </w:p>
    <w:p>
      <w:pPr>
        <w:pStyle w:val="FirstParagraph"/>
      </w:pPr>
      <w:r>
        <w:t xml:space="preserve">Un hallazgo con implicaciones prácticas importantes emerge del análisis de la relación entre rendimiento y recursos computacionales. MPNet alcanza 71.4% del rendimiento de Ada utilizando solo 50% de dimensiones (768 vs 1,536), lo que representa un trade-off altamente favorable para aplicaciones con restricciones de recursos.</w:t>
      </w:r>
    </w:p>
    <w:p>
      <w:pPr>
        <w:pStyle w:val="BodyText"/>
      </w:pPr>
      <w:r>
        <w:t xml:space="preserve">Este resultado es particularmente relevante considerando la convergencia en métricas semánticas discutida en la sección 8.3.4. Si bien Ada supera a MPNet en Precision@5 (0.098 vs 0.070), ambos modelos producen respuestas de calidad semántica comparable (Faithfulness ~0.70, BERTScore ~0.60). Esto sugiere que para aplicaciones donde la calidad semántica final es más importante que la precisión exacta de recuperación, MPNet podría ser una alternativa eficiente a modelos propietarios más costosos.</w:t>
      </w:r>
    </w:p>
    <w:p>
      <w:pPr>
        <w:pStyle w:val="BodyText"/>
      </w:pPr>
      <w:r>
        <w:t xml:space="preserve">El análisis de eficiencia se extiende a todos los modelos evaluados: E5-Large alcanza 66.3% del rendimiento de Ada con 67% de dimensiones (1,024), mientras que MiniLM, el modelo más ligero evaluado, logra 54.1% del rendimiento con apenas 25% de dimensiones (384). Esta gradación permite seleccionar modelos según las restricciones específicas de cada aplicación, balanceando rendimiento, costo computacional, y requisitos de latencia.</w:t>
      </w:r>
    </w:p>
    <w:p>
      <w:pPr>
        <w:pStyle w:val="BodyText"/>
      </w:pPr>
      <w:r>
        <w:t xml:space="preserve">La implicación práctica es que en escenarios con restricciones de recursos (dispositivos edge, alta concurrencia, presupuestos limitados), los modelos open-source evaluados pueden ofrecer soluciones viables que, si bien no alcanzan el rendimiento máximo, proporcionan capacidades de recuperación y generación semántica aceptables a una fracción del costo computacional.</w:t>
      </w:r>
    </w:p>
    <w:bookmarkEnd w:id="21"/>
    <w:bookmarkEnd w:id="22"/>
    <w:bookmarkStart w:id="25" w:name="contribuciones-del-trabajo"/>
    <w:p>
      <w:pPr>
        <w:pStyle w:val="Heading2"/>
      </w:pPr>
      <w:r>
        <w:t xml:space="preserve">8.4 Contribuciones del Trabajo</w:t>
      </w:r>
    </w:p>
    <w:bookmarkStart w:id="23" w:name="contribuciones-metodológicas"/>
    <w:p>
      <w:pPr>
        <w:pStyle w:val="Heading3"/>
      </w:pPr>
      <w:r>
        <w:t xml:space="preserve">8.4.1 Contribuciones Metodológicas</w:t>
      </w:r>
    </w:p>
    <w:p>
      <w:pPr>
        <w:pStyle w:val="FirstParagraph"/>
      </w:pPr>
      <w:r>
        <w:t xml:space="preserve">La principal contribución metodológica de este trabajo es la documentación sistemática de las limitaciones que presenta el uso de enlaces de respuestas comunitarias como ground truth para evaluar sistemas de recuperación técnica. Este enfoque, comúnmente utilizado en investigación debido a su conveniencia y escalabilidad, no garantiza la validez de la correspondencia entre preguntas y documentos, lo que limita significativamente la interpretabilidad de resultados cuantitativos obtenidos. Este hallazgo crítico alerta a futuras investigaciones sobre la necesidad de validación experta adicional.</w:t>
      </w:r>
    </w:p>
    <w:p>
      <w:pPr>
        <w:pStyle w:val="BodyText"/>
      </w:pPr>
      <w:r>
        <w:t xml:space="preserve">Una segunda contribución metodológica significativa es el framework de evaluación multi-métrica desarrollado, que combina métricas tradicionales de recuperación, métricas específicas para RAG mediante RAGAS, y evaluación semántica mediante BERTScore. Este enfoque permite detectar discrepancias entre diferentes dimensiones de evaluación, revelando limitaciones metodológicas que enfoques uni-métricos no detectarían. La capacidad de comparar simultáneamente métricas de recuperación exacta y calidad semántica resultó fundamental para identificar las limitaciones del ground truth utilizado.</w:t>
      </w:r>
    </w:p>
    <w:p>
      <w:pPr>
        <w:pStyle w:val="BodyText"/>
      </w:pPr>
      <w:r>
        <w:t xml:space="preserve">Finalmente, la validación del patrón de reranking diferencial constituye una contribución metodológica con implicaciones prácticas. El principio de efectividad diferencial del reranking, basado en la calidad de los embeddings iniciales, es un resultado técnico válido e independiente de las limitaciones del ground truth. Este hallazgo contribuye al conocimiento sobre arquitecturas RAG al demostrar que la aplicación efectiva de reranking requiere consideración del modelo de embedding utilizado.</w:t>
      </w:r>
    </w:p>
    <w:bookmarkEnd w:id="23"/>
    <w:bookmarkStart w:id="24" w:name="contribuciones-técnicas"/>
    <w:p>
      <w:pPr>
        <w:pStyle w:val="Heading3"/>
      </w:pPr>
      <w:r>
        <w:t xml:space="preserve">8.4.2 Contribuciones Técnicas</w:t>
      </w:r>
    </w:p>
    <w:p>
      <w:pPr>
        <w:pStyle w:val="FirstParagraph"/>
      </w:pPr>
      <w:r>
        <w:t xml:space="preserve">Desde el punto de vista técnico, el trabajo establece una implementación de referencia para almacenamiento y recuperación vectorial a escala académica, utilizando ChromaDB con más de 800,000 vectores (ver especificaciones detalladas en sección 8.2.2). Esta infraestructura técnicamente robusta puede ser útil para futuras investigaciones que requieran capacidades similares de almacenamiento y búsqueda vectorial.</w:t>
      </w:r>
    </w:p>
    <w:p>
      <w:pPr>
        <w:pStyle w:val="BodyText"/>
      </w:pPr>
      <w:r>
        <w:t xml:space="preserve">Adicionalmente, el pipeline de evaluación automatizado desarrollado constituye un sistema completo y reproducible que abarca desde la configuración inicial hasta la visualización de resultados, con trazabilidad completa en cada etapa. Esta infraestructura facilita la replicación y extensión de la investigación por parte de otros equipos, proporcionando una base sólida para trabajos futuros.</w:t>
      </w:r>
    </w:p>
    <w:bookmarkEnd w:id="24"/>
    <w:bookmarkEnd w:id="25"/>
    <w:bookmarkStart w:id="29" w:name="limitaciones-identificadas"/>
    <w:p>
      <w:pPr>
        <w:pStyle w:val="Heading2"/>
      </w:pPr>
      <w:r>
        <w:t xml:space="preserve">8.5 Limitaciones Identificadas</w:t>
      </w:r>
    </w:p>
    <w:bookmarkStart w:id="26" w:name="limitaciones-metodológicas"/>
    <w:p>
      <w:pPr>
        <w:pStyle w:val="Heading3"/>
      </w:pPr>
      <w:r>
        <w:t xml:space="preserve">8.5.1 Limitaciones Metodológicas</w:t>
      </w:r>
    </w:p>
    <w:p>
      <w:pPr>
        <w:pStyle w:val="FirstParagraph"/>
      </w:pPr>
      <w:r>
        <w:t xml:space="preserve">La limitación más significativa de este trabajo radica en que los 2,067 pares pregunta-documento utilizados como ground truth provienen de enlaces incluidos en respuestas comunitarias, sin validación experta que confirme la correspondencia real. Como se detalla en la sección 8.3.1, esta limitación imposibilita distinguir entre fallas reales del sistema y fallas del ground truth restrictivo.</w:t>
      </w:r>
    </w:p>
    <w:p>
      <w:pPr>
        <w:pStyle w:val="BodyText"/>
      </w:pPr>
      <w:r>
        <w:t xml:space="preserve">La ausencia de evaluación humana experta habría requerido recursos significativos fuera del alcance de este trabajo, pero habría proporcionado insights fundamentales sobre la efectividad real de los sistemas evaluados.</w:t>
      </w:r>
    </w:p>
    <w:bookmarkEnd w:id="26"/>
    <w:bookmarkStart w:id="27" w:name="limitaciones-técnicas"/>
    <w:p>
      <w:pPr>
        <w:pStyle w:val="Heading3"/>
      </w:pPr>
      <w:r>
        <w:t xml:space="preserve">8.5.2 Limitaciones Técnicas</w:t>
      </w:r>
    </w:p>
    <w:p>
      <w:pPr>
        <w:pStyle w:val="FirstParagraph"/>
      </w:pPr>
      <w:r>
        <w:t xml:space="preserve">Desde el punto de vista técnico, el procesamiento exclusivamente textual representa una limitación importante, dado que entre 30% y 40% del contenido de documentación técnica moderna incluye elementos multimedia como diagramas, capturas de pantalla, y videos. Los resultados obtenidos son válidos únicamente para el componente textual de la documentación, y no pueden generalizarse al contenido visual.</w:t>
      </w:r>
    </w:p>
    <w:p>
      <w:pPr>
        <w:pStyle w:val="BodyText"/>
      </w:pPr>
      <w:r>
        <w:t xml:space="preserve">La especialización estricta en el ecosistema Azure también limita la generalización directa de hallazgos a otros dominios técnicos. Aunque los principios identificados (como el patrón de reranking diferencial) probablemente sean aplicables en otros contextos, la validación empírica de su generalización requeriría evaluaciones adicionales en otros ecosistemas cloud como AWS o GCP.</w:t>
      </w:r>
    </w:p>
    <w:bookmarkEnd w:id="27"/>
    <w:bookmarkStart w:id="28" w:name="limitaciones-de-alcance"/>
    <w:p>
      <w:pPr>
        <w:pStyle w:val="Heading3"/>
      </w:pPr>
      <w:r>
        <w:t xml:space="preserve">8.5.3 Limitaciones de Alcance</w:t>
      </w:r>
    </w:p>
    <w:p>
      <w:pPr>
        <w:pStyle w:val="FirstParagraph"/>
      </w:pPr>
      <w:r>
        <w:t xml:space="preserve">Finalmente, el uso exclusivo de datos públicos, sin acceso a datos corporativos internos, limita la validación de hallazgos con casos de uso industriales reales. Los entornos corporativos presentan complejidades adicionales, como terminología interna, configuraciones personalizadas, y contextos organizacionales específicos, que pueden no estar adecuadamente representados en documentación pública. Los hallazgos obtenidos pueden no reflejar completamente la complejidad de implementaciones en contextos corporativos reales.</w:t>
      </w:r>
    </w:p>
    <w:bookmarkEnd w:id="28"/>
    <w:bookmarkEnd w:id="29"/>
    <w:bookmarkStart w:id="32" w:name="trabajo-futuro"/>
    <w:p>
      <w:pPr>
        <w:pStyle w:val="Heading2"/>
      </w:pPr>
      <w:r>
        <w:t xml:space="preserve">8.6 Trabajo Futuro</w:t>
      </w:r>
    </w:p>
    <w:bookmarkStart w:id="30" w:name="Xa56cbe167ce173d8e10c8714d953e0f6c96f6ea"/>
    <w:p>
      <w:pPr>
        <w:pStyle w:val="Heading3"/>
      </w:pPr>
      <w:r>
        <w:t xml:space="preserve">8.6.1 Desarrollo de Ground Truth Validado por Expertos</w:t>
      </w:r>
    </w:p>
    <w:p>
      <w:pPr>
        <w:pStyle w:val="FirstParagraph"/>
      </w:pPr>
      <w:r>
        <w:t xml:space="preserve">La recomendación principal para futuras investigaciones es desarrollar ground truth validado por expertos del dominio técnico. Este proceso debería incluir la formación de un panel de especialistas en Azure que validen la correspondencia entre preguntas y documentos, aplicando criterios de relevancia graduales mediante escalas (por ejemplo, 0-3) en lugar de evaluaciones binarias de relevante/no-relevante. La validación debería ser multi-evaluador, con múltiples expertos independientes evaluando cada par para garantizar consenso, y debería incluir documentación del razonamiento detrás de cada evaluación, donde los expertos explican por qué consideran que un documento es o no relevante para una pregunta específica.</w:t>
      </w:r>
    </w:p>
    <w:p>
      <w:pPr>
        <w:pStyle w:val="BodyText"/>
      </w:pPr>
      <w:r>
        <w:t xml:space="preserve">El resultado esperado de este esfuerzo sería un ground truth verdaderamente confiable que permitiera evaluar la efectividad real de sistemas de recuperación técnica, proporcionando una base sólida para conclusiones sobre rendimiento absoluto más allá de comparaciones relativas entre modelos.</w:t>
      </w:r>
    </w:p>
    <w:bookmarkEnd w:id="30"/>
    <w:bookmarkStart w:id="31" w:name="extensiones-recomendadas"/>
    <w:p>
      <w:pPr>
        <w:pStyle w:val="Heading3"/>
      </w:pPr>
      <w:r>
        <w:t xml:space="preserve">8.6.2 Extensiones Recomendadas</w:t>
      </w:r>
    </w:p>
    <w:p>
      <w:pPr>
        <w:pStyle w:val="FirstParagraph"/>
      </w:pPr>
      <w:r>
        <w:t xml:space="preserve">Si se continúa esta línea de investigación, varias direcciones serían relevantes y prometedoras. La evaluación con datos corporativos validados, mediante acceso a tickets de soporte con documentos de solución verificados, proporcionaría validación con casos de uso reales. La implementación de búsqueda híbrida que combine recuperación vectorial semántica con técnicas keyword-based tradicionales podría mejorar la cobertura y precisión. La incorporación de procesamiento de contenido multi-modal, incluyendo diagramas y elementos visuales, extendería significativamente la aplicabilidad del sistema. Finalmente, la validación cross-domain, evaluando la generalización de hallazgos en otros ecosistemas como AWS o GCP, establecería la robustez de los principios identificados.</w:t>
      </w:r>
    </w:p>
    <w:p>
      <w:pPr>
        <w:pStyle w:val="BodyText"/>
      </w:pPr>
      <w:r>
        <w:t xml:space="preserve">Es importante notar que estas extensiones requieren el desarrollo previo de ground truth validado para ser verdaderamente efectivas, dado que los problemas metodológicos identificados en este trabajo se reproducirían en cualquier contexto sin ground truth confiable.</w:t>
      </w:r>
    </w:p>
    <w:bookmarkEnd w:id="31"/>
    <w:bookmarkEnd w:id="32"/>
    <w:bookmarkStart w:id="33" w:name="conclusión-del-capítulo"/>
    <w:p>
      <w:pPr>
        <w:pStyle w:val="Heading2"/>
      </w:pPr>
      <w:r>
        <w:t xml:space="preserve">8.7 Conclusión del Capítulo</w:t>
      </w:r>
    </w:p>
    <w:p>
      <w:pPr>
        <w:pStyle w:val="FirstParagraph"/>
      </w:pPr>
      <w:r>
        <w:t xml:space="preserve">Esta investigación cumplió sus objetivos técnicos de implementación y evaluación, desarrollando un sistema RAG completo con un pipeline automatizado de evaluación multi-métrica sobre un corpus sustancial de documentación técnica de Azure. Sin embargo, los resultados revelan limitaciones metodológicas fundamentales que condicionan la interpretación de los hallazgos cuantitativos obtenidos.</w:t>
      </w:r>
    </w:p>
    <w:p>
      <w:pPr>
        <w:pStyle w:val="BodyText"/>
      </w:pPr>
      <w:r>
        <w:t xml:space="preserve">Los hallazgos técnicos válidos incluyen la jerarquía relativa entre modelos (ver Tabla 8.1), el patrón de reranking diferencial confirmado experimentalmente (ver Tabla 8.2), la convergencia en métricas semánticas independiente del rendimiento de recuperación exacta, el análisis de eficiencia relativa de modelos open-source, y la demostración de escalabilidad y funcionalidad de la infraestructura técnica basada en ChromaDB. Estos hallazgos son robustos porque se basan en comparaciones relativas bajo condiciones experimentales controladas.</w:t>
      </w:r>
    </w:p>
    <w:p>
      <w:pPr>
        <w:pStyle w:val="BodyText"/>
      </w:pPr>
      <w:r>
        <w:t xml:space="preserve">La limitación crítica identificada es que el ground truth basado en enlaces de respuestas comunitarias no garantiza la validez de la correspondencia entre preguntas y documentos, produciendo resultados cuantitativos de validez cuestionable. Esta limitación no invalida los hallazgos comparativos, pero impide conclusiones definitivas sobre rendimiento absoluto.</w:t>
      </w:r>
    </w:p>
    <w:p>
      <w:pPr>
        <w:pStyle w:val="BodyText"/>
      </w:pPr>
      <w:r>
        <w:t xml:space="preserve">La contribución principal del trabajo es la documentación honesta de las limitaciones inherentes a metodologías automatizadas de construcción de ground truth para dominios técnicos especializados. Al alertar a la comunidad científica sobre estos desafíos metodológicos, el trabajo subraya la necesidad de incorporar validación humana experta en futuras investigaciones sobre recuperación de información técnica.</w:t>
      </w:r>
    </w:p>
    <w:p>
      <w:pPr>
        <w:pStyle w:val="BodyText"/>
      </w:pPr>
      <w:r>
        <w:t xml:space="preserve">Para la comunidad científica, la implicación más importante es que los resultados cuantitativos reportados no deben interpretarse como evidencia de inefectividad de la recuperación semántica en sí misma. Más bien, constituyen evidencia de las limitaciones de enfoques automatizados de evaluación que carecen de validación experta. La efectividad real de estos sistemas requiere validación con ground truth desarrollado por expertos del dominio capaces de juzgar la relevancia en contextos técnicos especializados.</w:t>
      </w:r>
    </w:p>
    <w:p>
      <w:pPr>
        <w:pStyle w:val="BodyText"/>
      </w:pPr>
      <w:r>
        <w:t xml:space="preserve">La recomendación final para futuras investigaciones en recuperación de información técnica especializada es priorizar el desarrollo de ground truth validado por expertos antes de ejecutar evaluaciones cuantitativas a escala. Solo así puede garantizarse que los resultados reflejen las capacidades reales de los sistemas evaluados, permitiendo conclusiones válidas sobre su efectividad en aplicaciones prácticas.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2025-11-13T22:13:20Z</dcterms:created>
  <dcterms:modified xsi:type="dcterms:W3CDTF">2025-11-13T22:13:20Z</dcterms:modified>
</cp:coreProperties>
</file>

<file path=docProps/custom.xml><?xml version="1.0" encoding="utf-8"?>
<Properties xmlns="http://schemas.openxmlformats.org/officeDocument/2006/custom-properties" xmlns:vt="http://schemas.openxmlformats.org/officeDocument/2006/docPropsVTypes"/>
</file>