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雷达信号分选数据生成与评估方案</w:t>
      </w:r>
    </w:p>
    <w:p>
      <w:pPr>
        <w:pStyle w:val="Heading1"/>
      </w:pPr>
      <w:r>
        <w:t>实验目标与研究边界</w:t>
      </w:r>
    </w:p>
    <w:p>
      <w:r>
        <w:rPr>
          <w:b w:val="0"/>
        </w:rPr>
        <w:t>本方案以 TSRD 的五维脉冲描述字为基础，研究分选方法在缺失、虚警、测量误差、参数接近、分裂、调制变化、短观测和多源条件下的性能。实验对象是收到的 PDW，而不是原始发射波形。算法要把同一发射源的脉冲归到一起，并尽可能拒识虚警。</w:t>
      </w:r>
    </w:p>
    <w:p>
      <w:r>
        <w:rPr>
          <w:b w:val="0"/>
        </w:rPr>
        <w:t>主指标采用 ARI 与按真实源平均的匹配 F1，分别展示；前者反映整体分组一致性，后者避免数量占优势的大源掩盖小源失败。源数、拒识率、虚警性能和资源消耗同时报告。</w:t>
      </w:r>
    </w:p>
    <w:p>
      <w:r>
        <w:rPr>
          <w:b w:val="0"/>
        </w:rPr>
        <w:t>所有数据变换发生在内存中的副本上。论文和 TSRD 原目录仅作读取。派生样本、模型、预测、记录和本文件全部保存在 Deinterleaving 工程内。源文件检查包括全体文件大小与修改时间、论文 SHA256，以及实际评估数据的 SHA256。</w:t>
      </w:r>
    </w:p>
    <w:p>
      <w:r>
        <w:rPr>
          <w:b w:val="0"/>
        </w:rPr>
        <w:t>首先开展小规模功能验证，再在 GPU 机器开展正式训练与评估。功能验证的三轮训练权重不能视为正式模型；原始数据没有低 SNR 的 IQ 或对应测量标注，因此目前只保留读取接口。</w:t>
      </w:r>
    </w:p>
    <w:p>
      <w:r>
        <w:rPr>
          <w:b w:val="0"/>
        </w:rPr>
        <w:t>论文方法必须同时报告实现成熟度。10 个论文注册项不代表10篇已经完成严格复现；细节差异和缺失条件见《论文实现对应表》。无权重、无先验、无相关输入以及尚未通过核验的项目均不得编造分数。</w:t>
      </w:r>
    </w:p>
    <w:p>
      <w:pPr>
        <w:pStyle w:val="Heading1"/>
      </w:pPr>
      <w:r>
        <w:t>六个数据子集与数据契约</w:t>
      </w:r>
    </w:p>
    <w:p>
      <w:r>
        <w:rPr>
          <w:b w:val="0"/>
        </w:rPr>
        <w:t>六个独立子集为 scan/train、scan/val、scan/test、stare/train、stare/val、stare/test，分别映射到原目录的 train_scan、val_scan、test_scan、train_stare、val_stare、test_stare。接口可以单选、多选或选择 all，各子集独立保存和汇总结果。</w:t>
      </w:r>
    </w:p>
    <w:p>
      <w:r>
        <w:rPr>
          <w:b w:val="0"/>
        </w:rPr>
        <w:t>默认 scan 和 stare 分别使用自身 train 训练、val 选择权重、test 正式评估。将 train 选作评估集时，结果必须标明训练集表现；all 只意味着评估选择，不改变训练范围。</w:t>
      </w:r>
    </w:p>
    <w:p>
      <w:r>
        <w:rPr>
          <w:b w:val="0"/>
        </w:rPr>
        <w:t>HDF5 的 data 为 N×5，metadata/feature_names 决定列顺序，labels 为 N 或 N×1。内部列固定为 TOA、RF、PW、AOA、幅度，单位依次为 μs、MHz、μs、度、dB。内部时间用 float64，标签用 int64；转换不能恢复原文件 float32 已损失的精度。</w:t>
      </w:r>
    </w:p>
    <w:p>
      <w:r>
        <w:rPr>
          <w:b w:val="0"/>
        </w:rPr>
        <w:t>每个样本包含观测 x、评分真值 y、父脉冲 parent 和来源 meta。真实源标签为非负整数，虚警为 -1。算法预测只接收观测和训练得到的配置，不接收 y、parent、真实源数或场景名称。</w:t>
      </w:r>
    </w:p>
    <w:p>
      <w:r>
        <w:rPr>
          <w:b w:val="0"/>
        </w:rPr>
        <w:t>窗口以绝对起点 start 和半开区间 [start,start+duration) 读取，内部 TOA 减去 start。默认普通窗口100000 μs。随机起点由子集、文件名、窗口种子确定，不依赖机器绝对路径。无序 TOA 会稳定排序，同时同步排列标签与父编号。</w:t>
      </w:r>
    </w:p>
    <w:p>
      <w:r>
        <w:rPr>
          <w:b w:val="0"/>
        </w:rPr>
        <w:t>每个派生样本保存来源文件、内容校验值、子集、起点、时长、变换参数、随机种子、原始索引以及父事件关系。强度扫描共用原始窗口，不根据测试结果重新选样。</w:t>
      </w:r>
    </w:p>
    <w:p>
      <w:pPr>
        <w:pStyle w:val="Heading1"/>
      </w:pPr>
      <w:r>
        <w:t>训练集统计与实验配对</w:t>
      </w:r>
    </w:p>
    <w:p>
      <w:r>
        <w:rPr>
          <w:b w:val="0"/>
        </w:rPr>
        <w:t>测量范围与标准化统计仅使用相应模式 train。默认按文件等距抽取至多5000行，计算各维中位数、四分位距和0.1%至99.9%分位范围。小规模验证使用6个train文件、每文件1000行；来源清单随 profile 保存。</w:t>
      </w:r>
    </w:p>
    <w:p>
      <w:r>
        <w:rPr>
          <w:b w:val="0"/>
        </w:rPr>
        <w:t>设中心为 c，尺度为 s。空间基线使用 (RF-c_RF)/s_RF、(PW-c_PW)/s_PW、sin(AOA)、cos(AOA)，不把绝对TOA作为空间距离。深度表征再加入幅度标准化和 log(1+DTOA/s_t)。s_t 为train连续观测正时间差的中位数，仅是误差尺度，不解释为真实发射PRI。</w:t>
      </w:r>
    </w:p>
    <w:p>
      <w:r>
        <w:rPr>
          <w:b w:val="0"/>
        </w:rPr>
        <w:t>论文内定义的样本内归一化属于其算法步骤。例如EDPC等论文以当前无标签样本的min-max计算三维距离。这种步骤与基线train归一化分别记录，不使用测试标签拟合。</w:t>
      </w:r>
    </w:p>
    <w:p>
      <w:r>
        <w:rPr>
          <w:b w:val="0"/>
        </w:rPr>
        <w:t>同一窗口、同一变换种子和同一派生PDW供所有算法使用。变换种子不含算法名称。训练和测试不共享标签语义；TSRD的源编号只在单条记录内有效。</w:t>
      </w:r>
    </w:p>
    <w:p>
      <w:r>
        <w:rPr>
          <w:b w:val="0"/>
        </w:rPr>
        <w:t>默认执行单因素扫描，保持其他参数不变。compose 接口支持将多个变换按显式顺序串联；每一步比例以该步输入为分母，完整记录顺序和中间计数。组合实验不属于默认主实验矩阵。</w:t>
      </w:r>
    </w:p>
    <w:p>
      <w:r>
        <w:rPr>
          <w:b w:val="0"/>
        </w:rPr>
        <w:t>样本数取 k=floor(p×N_real+0.5)。所有原始虚警均不纳入“真实脉冲数”分母。数据合法范围、裁剪数量和变换后的脉冲数保存在元数据中。</w:t>
      </w:r>
    </w:p>
    <w:p>
      <w:pPr>
        <w:pStyle w:val="Heading1"/>
      </w:pPr>
      <w:r>
        <w:t>脉冲缺失与虚警</w:t>
      </w:r>
    </w:p>
    <w:p>
      <w:pPr>
        <w:pStyle w:val="Heading2"/>
      </w:pPr>
      <w:r>
        <w:t>随机缺失</w:t>
      </w:r>
    </w:p>
    <w:p>
      <w:r>
        <w:rPr>
          <w:b w:val="0"/>
        </w:rPr>
        <w:t>比例 p 依次取0.1至0.9，步长0.1。真实索引集合 I={i:y_i≥0}，从 I 无放回均匀抽取 k 个索引，删除其PDW、标签与父编号。原始输入不改变。</w:t>
      </w:r>
    </w:p>
    <w:p>
      <w:r>
        <w:rPr>
          <w:b w:val="0"/>
        </w:rPr>
        <w:t>例如1000个真实脉冲、p=0.3，删除300个，保留700个。允许稀有源完全消失，并记录其标签。分选主指标只要求归类实际可见脉冲，不要求算法凭空恢复已完全消失的源。</w:t>
      </w:r>
    </w:p>
    <w:p>
      <w:pPr>
        <w:pStyle w:val="Heading2"/>
      </w:pPr>
      <w:r>
        <w:t>随机虚警</w:t>
      </w:r>
    </w:p>
    <w:p>
      <w:r>
        <w:rPr>
          <w:b w:val="0"/>
        </w:rPr>
        <w:t>比例 p 取0.1至0.5。新增 k 个PDW，标签为-1。新增数量相对原真实脉冲数定义：1000个真实脉冲加50%虚警即新增500个，新增虚警占最终1500个观测的三分之一，而不是50%。</w:t>
      </w:r>
    </w:p>
    <w:p>
      <w:r>
        <w:rPr>
          <w:b w:val="0"/>
        </w:rPr>
        <w:t>虚警TOA在当前窗口[0,T)均匀采样。RF、PW、AOA、幅度按对应train确定的有效范围独立均匀采样。RF、PW保持正值；AOA范围为[-180,180)。这是明确的随机PDW干扰模型，不把虚警伪装成真实辐射源。</w:t>
      </w:r>
    </w:p>
    <w:p>
      <w:r>
        <w:rPr>
          <w:b w:val="0"/>
        </w:rPr>
        <w:t>虚警分配唯一负父编号，与真实脉冲原始索引不冲突。新增后按TOA稳定排序。结果同时报告分选指标与虚警检测指标，以检查算法是否通过大量拒识换取表面上的聚类纯度。</w:t>
      </w:r>
    </w:p>
    <w:p>
      <w:pPr>
        <w:pStyle w:val="Heading1"/>
      </w:pPr>
      <w:r>
        <w:t>参数测量误差与PDW重叠</w:t>
      </w:r>
    </w:p>
    <w:p>
      <w:pPr>
        <w:pStyle w:val="Heading2"/>
      </w:pPr>
      <w:r>
        <w:t>参数噪声</w:t>
      </w:r>
    </w:p>
    <w:p>
      <w:r>
        <w:rPr>
          <w:b w:val="0"/>
        </w:rPr>
        <w:t>强度 p=0.01,0.02,…,0.10。独立高斯扰动 x'=x+ε，ε~N(0,σ²)。RF和PW使用 σ_RF=p×|RF|、σ_PW=p×|PW|；TOA使用 σ_TOA=p×s_t；角度和幅度使用 σ_AOA=p×s_AOA、σ_A=p×s_A。</w:t>
      </w:r>
    </w:p>
    <w:p>
      <w:r>
        <w:rPr>
          <w:b w:val="0"/>
        </w:rPr>
        <w:t>例如RF为1000 MHz、p=0.02时，RF误差标准差为20 MHz。该定义不是“最大误差2%”；高斯分布可出现超过一个标准差的扰动。绝不能以数百万微秒的绝对TOA乘百分比，否则会把小测量误差变成大规模时间重排。</w:t>
      </w:r>
    </w:p>
    <w:p>
      <w:r>
        <w:rPr>
          <w:b w:val="0"/>
        </w:rPr>
        <w:t>扰动后RF≥10⁻⁶ MHz，PW≥10⁻⁹ μs，TOA裁剪到[0,T)，角度用(AOA+180) mod 360−180回绕。保留裁剪计数，排序后保持标签对应。幅度是dB值，使用加性dB误差，不能对负dB值作简单乘法百分比。</w:t>
      </w:r>
    </w:p>
    <w:p>
      <w:pPr>
        <w:pStyle w:val="Heading2"/>
      </w:pPr>
      <w:r>
        <w:t>最近源对重叠</w:t>
      </w:r>
    </w:p>
    <w:p>
      <w:r>
        <w:rPr>
          <w:b w:val="0"/>
        </w:rPr>
        <w:t>每个源中心由RF/PW中位数和AOA圆周均值构成。源间距离按train尺度标准化，角度差取[-180,180)最短弧。只用真值确定场景生成对象，生成后不把该信息传给算法。</w:t>
      </w:r>
    </w:p>
    <w:p>
      <w:r>
        <w:rPr>
          <w:b w:val="0"/>
        </w:rPr>
        <w:t>选定最近源对a、b，令Δ=c_b−c_a（角度取最短弧）。变换为 x_a'=x_a+pΔ/2，x_b'=x_b−pΔ/2，p=0.1至0.9。两源中心距离变为原来的1−p倍，源内变化和TOA保持。其他源不移动。</w:t>
      </w:r>
    </w:p>
    <w:p>
      <w:r>
        <w:rPr>
          <w:b w:val="0"/>
        </w:rPr>
        <w:t>例如两源RF中心1000和1200 MHz，p=0.5时变成1050和1150 MHz。角度179°与−179°必须沿2°短弧靠近，不能穿过0°。窗口少于两个源时记为不适用。</w:t>
      </w:r>
    </w:p>
    <w:p>
      <w:pPr>
        <w:pStyle w:val="Heading1"/>
      </w:pPr>
      <w:r>
        <w:t>分裂脉冲与短观测</w:t>
      </w:r>
    </w:p>
    <w:p>
      <w:pPr>
        <w:pStyle w:val="Heading2"/>
      </w:pPr>
      <w:r>
        <w:t>分裂脉冲</w:t>
      </w:r>
    </w:p>
    <w:p>
      <w:r>
        <w:rPr>
          <w:b w:val="0"/>
        </w:rPr>
        <w:t>比例 p=0.05,0.10,…,0.30。对选中真实脉冲(t,w)，采样 r~U[0.3,0.7]，用片段(t,rw)和(t+rw,(1−r)w)替换。两个片段继承RF、AOA、幅度和源标签，总PW保持w，均指向同一个父脉冲。</w:t>
      </w:r>
    </w:p>
    <w:p>
      <w:r>
        <w:rPr>
          <w:b w:val="0"/>
        </w:rPr>
        <w:t>例如TOA=100 μs、PW=10 μs、r=0.4，两个片段是(100,4)和(104,6)。选择30个父脉冲会使总观测数量增加30，而不是60。幅度保持不变，表示检测片段的幅度描述，并不声称重新仿真了片段能量。</w:t>
      </w:r>
    </w:p>
    <w:p>
      <w:r>
        <w:rPr>
          <w:b w:val="0"/>
        </w:rPr>
        <w:t>本实验以父脉冲起点决定窗口归属，保留两个片段；第二片段可以延伸到窗口右边界外。结果同时给出检测片段等权指标与父事件等权指标，后者对同一父事件的m个片段各赋1/m权重，避免分裂源被过度加权。</w:t>
      </w:r>
    </w:p>
    <w:p>
      <w:pPr>
        <w:pStyle w:val="Heading2"/>
      </w:pPr>
      <w:r>
        <w:t>短观测</w:t>
      </w:r>
    </w:p>
    <w:p>
      <w:r>
        <w:rPr>
          <w:b w:val="0"/>
        </w:rPr>
        <w:t>时长取100、150、200、250、300 μs，严格使用微秒。各时长从同一个普通窗口起点向右截取，不移动起点寻找更多脉冲。</w:t>
      </w:r>
    </w:p>
    <w:p>
      <w:r>
        <w:rPr>
          <w:b w:val="0"/>
        </w:rPr>
        <w:t>scan接收过程可能使短窗口完全没有脉冲；部分窗口可能只有一个脉冲或一个源。这些情况必须保留。零或一个真实脉冲时主指标不计算；无正对或无负对的真实划分不报告有误导性的ARI/AMI满分。</w:t>
      </w:r>
    </w:p>
    <w:p>
      <w:r>
        <w:rPr>
          <w:b w:val="0"/>
        </w:rPr>
        <w:t>汇总同时给出尝试数量、有效记录数量和退化情况。不得通过自动扩窗、重复脉冲或删去空样本，把100 μs实验悄悄变成更容易的任务。</w:t>
      </w:r>
    </w:p>
    <w:p>
      <w:pPr>
        <w:pStyle w:val="Heading1"/>
      </w:pPr>
      <w:r>
        <w:t>PRI调制生成公式</w:t>
      </w:r>
    </w:p>
    <w:p>
      <w:r>
        <w:rPr>
          <w:b w:val="0"/>
        </w:rPr>
        <w:t>PRI表示同一源连续发射脉冲的时间间隔。每个源单独生成时间，再将所有源合并排序。t₀~U[0,B)，tₙ₊₁=tₙ+Pₙ。默认合成基准B=100 μs，可通过base_us配置；不把scan的观测间隔当真实发射PRI。</w:t>
      </w:r>
    </w:p>
    <w:p>
      <w:r>
        <w:rPr>
          <w:b w:val="0"/>
        </w:rPr>
        <w:t>本实现采用明确的synthetic_config基准。原元数据在未验证发射源映射前不用于自动推断；不得宣称已恢复原发射机时序。每源沿用原窗口的脉冲模板数量，重写TOA后丢弃起点落在窗口外的脉冲，因此最终数量可能变化。</w:t>
      </w:r>
    </w:p>
    <w:p>
      <w:r>
        <w:rPr>
          <w:b w:val="0"/>
        </w:rPr>
        <w:t>抖动：Pₙ=B(1+uₙ)，uₙ独立服从U[-0.1,0.1]。B=100时PRI在90至110 μs内变化。</w:t>
      </w:r>
    </w:p>
    <w:p>
      <w:r>
        <w:rPr>
          <w:b w:val="0"/>
        </w:rPr>
        <w:t>参差：Pₙ=B×a[n mod 3]，a=[0.8,1.0,1.2]，即80、100、120、80、100、120 μs循环。</w:t>
      </w:r>
    </w:p>
    <w:p>
      <w:r>
        <w:rPr>
          <w:b w:val="0"/>
        </w:rPr>
        <w:t>滑变：Pₙ=B[0.8+0.4×min(n/63,1)]。第1个间隔为80 μs，第64个为120 μs，之后保持120 μs，不周期回跳。下降滑变将min(n/63,1)替换为1−min(n/63,1)。</w:t>
      </w:r>
    </w:p>
    <w:p>
      <w:r>
        <w:rPr>
          <w:b w:val="0"/>
        </w:rPr>
        <w:t>组变：Pₙ=B×a[floor(n/16) mod 3]，连续16个80 μs，再16个100 μs，再16个120 μs，随后重复。</w:t>
      </w:r>
    </w:p>
    <w:p>
      <w:r>
        <w:rPr>
          <w:b w:val="0"/>
        </w:rPr>
        <w:t>随机：Pₙ独立服从U[0.5B,1.5B]，默认50至150 μs。与抖动通过扰动幅度区分，二者不混用名称。</w:t>
      </w:r>
    </w:p>
    <w:p>
      <w:r>
        <w:rPr>
          <w:b w:val="0"/>
        </w:rPr>
        <w:t>驻留：从[0.8B,B,1.2B]选定一值，维持随机32至64个间隔，随后切换为另一值。组变使用固定组长和固定循环顺序；驻留使用随机长驻留和随机切换。</w:t>
      </w:r>
    </w:p>
    <w:p>
      <w:r>
        <w:rPr>
          <w:b w:val="0"/>
        </w:rPr>
        <w:t>交错：同一源生成两条子列Aₖ=φ+kB和Cₖ=φ+0.4B+k×1.3B；A取ceil(N/2)个脉冲，C取floor(N/2)个，合并排序并保留同一源标签。交错后相邻DTOA不必等于B或1.3B。</w:t>
      </w:r>
    </w:p>
    <w:p>
      <w:pPr>
        <w:pStyle w:val="Heading1"/>
      </w:pPr>
      <w:r>
        <w:t>RF调制与场景可解释性</w:t>
      </w:r>
    </w:p>
    <w:p>
      <w:r>
        <w:rPr>
          <w:b w:val="0"/>
        </w:rPr>
        <w:t>RF表示每个PDW的中心频率。本方案的线性和锯齿RF变化发生在脉冲之间，不等同于单个脉冲内部的线性调频波形。</w:t>
      </w:r>
    </w:p>
    <w:p>
      <w:r>
        <w:rPr>
          <w:b w:val="0"/>
        </w:rPr>
        <w:t>每源以原窗口RF中位数f₀为中心，默认下界L=max(10⁻⁶,0.9f₀)，上界U=min(train有效上界,1.1f₀)。若U&lt;L则令U=L并视为退化范围。固定RF使用原中心值。</w:t>
      </w:r>
    </w:p>
    <w:p>
      <w:r>
        <w:rPr>
          <w:b w:val="0"/>
        </w:rPr>
        <w:t>固定：fₙ=f₀。</w:t>
      </w:r>
    </w:p>
    <w:p>
      <w:r>
        <w:rPr>
          <w:b w:val="0"/>
        </w:rPr>
        <w:t>同时多频：每个父事件在相同TOA生成频点L和U两个PDW，保持同一源与父事件编号。该场景会增加检测数量，应同时使用父事件等权指标；不合并为一个包含两个频率的标量PDW。</w:t>
      </w:r>
    </w:p>
    <w:p>
      <w:r>
        <w:rPr>
          <w:b w:val="0"/>
        </w:rPr>
        <w:t>线性：fₙ=L+(U−L)min(n/63,1)，第64个脉冲到达U后保持。锯齿：fₙ=L+(U−L)(n mod 64)/63，到达U后下一脉冲复位L。</w:t>
      </w:r>
    </w:p>
    <w:p>
      <w:r>
        <w:rPr>
          <w:b w:val="0"/>
        </w:rPr>
        <w:t>随机固定：样本开始时每源采样f*~U[L,U]，整条源序列保持f*。范围捷变：每个脉冲独立采样fₙ~U[L,U]。两者一个在源层随机，一个在脉冲层随机。</w:t>
      </w:r>
    </w:p>
    <w:p>
      <w:r>
        <w:rPr>
          <w:b w:val="0"/>
        </w:rPr>
        <w:t>例如f₀=1000 MHz且无边界截断时，变化区间900至1100 MHz；线性第1个脉冲900 MHz，第64个1100 MHz；锯齿第65个回到900 MHz。</w:t>
      </w:r>
    </w:p>
    <w:p>
      <w:r>
        <w:rPr>
          <w:b w:val="0"/>
        </w:rPr>
        <w:t>PRI与RF重生成后，数据仅称为TSRD派生调制实验。特别是scan模式，重新生成TOA或RF会改变与原接收机扫描轨迹的关系，当前不重新执行接收机选通；结果不应解释为保持了完整原接收物理过程。</w:t>
      </w:r>
    </w:p>
    <w:p>
      <w:pPr>
        <w:pStyle w:val="Heading1"/>
      </w:pPr>
      <w:r>
        <w:t>密集多源与低SNR接口</w:t>
      </w:r>
    </w:p>
    <w:p>
      <w:pPr>
        <w:pStyle w:val="Heading2"/>
      </w:pPr>
      <w:r>
        <w:t>密集多源</w:t>
      </w:r>
    </w:p>
    <w:p>
      <w:r>
        <w:rPr>
          <w:b w:val="0"/>
        </w:rPr>
        <w:t>筛选单位是一条原始记录。对本次选择的每个子集及文件范围独立读取HDF5 labels，计算K=|unique(labels≥0)|。若存在K≥120的记录则采用全部这些记录；否则采用K达到当前范围最大值的记录，所有并列最大者都保留。</w:t>
      </w:r>
    </w:p>
    <w:p>
      <w:r>
        <w:rPr>
          <w:b w:val="0"/>
        </w:rPr>
        <w:t>不复制发射源、不拼接不同记录、不跨子集合并。结果保存候选范围、被选文件、原始记录源数和每个测试窗口可见源数。窗口内源数往往小于整条记录源数，不能用整条记录的90源为只含10源的窗口命名。</w:t>
      </w:r>
    </w:p>
    <w:p>
      <w:r>
        <w:rPr>
          <w:b w:val="0"/>
        </w:rPr>
        <w:t>当K&lt;120时，实验名称明确为“当前子集最大源数实验”。例如选择scan/test全部记录，最大K为90，则用90源记录；若仅选择config_1.h5，则最大值只在这一文件范围定义，不能称为整个scan/test的最大值。</w:t>
      </w:r>
    </w:p>
    <w:p>
      <w:r>
        <w:rPr>
          <w:b w:val="0"/>
        </w:rPr>
        <w:t>读取统计CSV可以辅助获得时间范围，但源数以HDF5标签核验。统计脉冲数不一致时，重新读取实际时间范围并记录stats_warning，绝不修改原CSV。</w:t>
      </w:r>
    </w:p>
    <w:p>
      <w:pPr>
        <w:pStyle w:val="Heading2"/>
      </w:pPr>
      <w:r>
        <w:t>低SNR</w:t>
      </w:r>
    </w:p>
    <w:p>
      <w:r>
        <w:rPr>
          <w:b w:val="0"/>
        </w:rPr>
        <w:t>默认网格预留−10、−5、0、5、10 dB。当前没有相应IQ或带真实SNR标注的PDW，全部记为未评估。幅度是接收脉冲的dB参数，缺少噪声参考时不能据此获得SNR。</w:t>
      </w:r>
    </w:p>
    <w:p>
      <w:r>
        <w:rPr>
          <w:b w:val="0"/>
        </w:rPr>
        <w:t>外部PDW扩展接口接收NPZ，必须含pdw[N,5]、labels[N]和snr_db标量，可含parent[N]。若传入expected_snr_db，必须与文件标注一致。</w:t>
      </w:r>
    </w:p>
    <w:p>
      <w:r>
        <w:rPr>
          <w:b w:val="0"/>
        </w:rPr>
        <w:t>未来接入IQ必须另行明确采样率、中心频率、噪声定义、检测门限、脉冲边界及PDW提取方法。PCID还需要逐脉冲真实波形互相关与PDW严格对齐，不能用PDW距离冒充。</w:t>
      </w:r>
    </w:p>
    <w:p>
      <w:pPr>
        <w:pStyle w:val="Heading1"/>
      </w:pPr>
      <w:r>
        <w:t>算法输入与公平性</w:t>
      </w:r>
    </w:p>
    <w:p>
      <w:r>
        <w:rPr>
          <w:b w:val="0"/>
        </w:rPr>
        <w:t>传统TOA基线为CDIF、SDIF、PRI Transform、Hough、Search和Correlation。聚类基线为K-means、DBSCAN、HDBSCAN、Mean Shift、Spectral和Hierarchical。深度基线为GRU、TCN和Transformer，共15项。</w:t>
      </w:r>
    </w:p>
    <w:p>
      <w:r>
        <w:rPr>
          <w:b w:val="0"/>
        </w:rPr>
        <w:t>CDIF累计多阶TOA差直方图，SDIF按阶阈值筛选；PRI Transform在PRI箱内累积复相位；Hough在PRI与相位平面投票；Search从观测差值提出候选；Correlation对二值时间列作自相关。所有候选由观测得到，之后执行公开配置的序列提取。</w:t>
      </w:r>
    </w:p>
    <w:p>
      <w:r>
        <w:rPr>
          <w:b w:val="0"/>
        </w:rPr>
        <w:t>K-means、Spectral和Hierarchical需要簇数，统一用无监督HDBSCAN估计；估计为零簇时回退为1。这个估计步骤属于算法成本，不输入真实源数。其余聚类方法使用自己的源数形成规则。</w:t>
      </w:r>
    </w:p>
    <w:p>
      <w:r>
        <w:rPr>
          <w:b w:val="0"/>
        </w:rPr>
        <w:t>三个深度基线先输出32维单位化表征，再使用相同HDBSCAN分组。训练标签只构造当前样本内的同源/异源关系。正对损失为余弦距离均值，负对损失为max(0,0.8−距离)均值，两部分等权，避免负对数量主导训练。</w:t>
      </w:r>
    </w:p>
    <w:p>
      <w:r>
        <w:rPr>
          <w:b w:val="0"/>
        </w:rPr>
        <w:t>GRU为两层双向64单元；TCN为6个64通道残差块，每块两个卷积，膨胀率1至32；Transformer为4层、64维、4头、256维前馈。验证集选择最小关系损失的轮次。训练不新增场景扰动。</w:t>
      </w:r>
    </w:p>
    <w:p>
      <w:r>
        <w:rPr>
          <w:b w:val="0"/>
        </w:rPr>
        <w:t>10篇论文方法的公式、步骤、实现位置及未确认项逐一记录在论文对应表。已知目标提取、层次语法识别及固定标签类别网络与未知源全分选不是相同任务，必须单列先验条件。</w:t>
      </w:r>
    </w:p>
    <w:p>
      <w:r>
        <w:rPr>
          <w:b w:val="0"/>
        </w:rPr>
        <w:t>原始PDW性能差、算法超时或不适用都属于实验结果。不能使用测试真值优化参数、替换算法、偷偷减少源数或只报告成功样本。</w:t>
      </w:r>
    </w:p>
    <w:p>
      <w:pPr>
        <w:pStyle w:val="Heading1"/>
      </w:pPr>
      <w:r>
        <w:t>评估指标与退化规则</w:t>
      </w:r>
    </w:p>
    <w:p>
      <w:r>
        <w:rPr>
          <w:b w:val="0"/>
        </w:rPr>
        <w:t>设真实源i与预测簇j的交集权重为nᵢⱼ，真实源大小为aᵢ，预测簇大小为bⱼ。bⱼ包含误吸收虚警，aᵢ包含被拒识真实脉冲。Fᵢⱼ=2nᵢⱼ/(aᵢ+bⱼ)，用匈牙利算法选择一对一F1总和最大的匹配。未匹配真实源F1为0，macro_source_f1为所有可见真实源的平均。</w:t>
      </w:r>
    </w:p>
    <w:p>
      <w:r>
        <w:rPr>
          <w:b w:val="0"/>
        </w:rPr>
        <w:t>匹配准确率独立最大化Σnᵢⱼ，再除以真实脉冲总权重。该最优匹配不一定等同于F1最优匹配。源检测成功定义为一对一匹配F1≥0.5；以成功源数分别除以预测簇数和真实源数得到源级Precision、Recall及F1。</w:t>
      </w:r>
    </w:p>
    <w:p>
      <w:r>
        <w:rPr>
          <w:b w:val="0"/>
        </w:rPr>
        <w:t>主ARI只在真实脉冲上计算。被拒识的真实脉冲分别赋予不同的未归属簇，不能把所有-1当一个正确的大簇。虚警另作检测任务。报告拒识率，让全拒识不能获得看似完美的分选成绩。</w:t>
      </w:r>
    </w:p>
    <w:p>
      <w:r>
        <w:rPr>
          <w:b w:val="0"/>
        </w:rPr>
        <w:t>脉冲对TP=Σ组合数(nᵢⱼ,2)，真实正对数=Σ组合数(aᵢ,2)，预测正对数=Σ组合数(bⱼ,2)。FP=预测正对−TP，FN=真实正对−TP，TN=组合数(N,2)−TP−FP−FN。此处仅使用真实脉冲及独立拒识标签；以稀疏计数计算，不构造N×N矩阵。</w:t>
      </w:r>
    </w:p>
    <w:p>
      <w:r>
        <w:rPr>
          <w:b w:val="0"/>
        </w:rPr>
        <w:t>辅助指标为AMI、V-measure、同质性、完整性、FMI、脉冲对F1/MCC、源数绝对误差。源分裂比例是与多个预测簇相交的真实源占比；合并比例是与多个真实源相交的预测簇占比。</w:t>
      </w:r>
    </w:p>
    <w:p>
      <w:r>
        <w:rPr>
          <w:b w:val="0"/>
        </w:rPr>
        <w:t>虚警检测把“真实为-1且预测拒识”作为TP，“真实脉冲被拒识”作为FP，“虚警被接纳”作为FN。没有真实虚警时，虚警指标为空，仍报告真实误拒率。</w:t>
      </w:r>
    </w:p>
    <w:p>
      <w:r>
        <w:rPr>
          <w:b w:val="0"/>
        </w:rPr>
        <w:t>父事件等权仅对匹配F1和准确率使用1/m权重，不把加权结果冒充标准ARI。空输入或不足2个真实脉冲时主指标为空；真实划分只有一个源或全为单例时ARI/AMI为空并注明退化。</w:t>
      </w:r>
    </w:p>
    <w:p>
      <w:pPr>
        <w:pStyle w:val="Heading1"/>
      </w:pPr>
      <w:r>
        <w:t>汇总方法与结果验收</w:t>
      </w:r>
    </w:p>
    <w:p>
      <w:r>
        <w:rPr>
          <w:b w:val="0"/>
        </w:rPr>
        <w:t>先对每个原始文件的窗口与重复种子结果求均值，再对文件等权求总体均值。种子标准差按每个种子的文件等权均值计算。置信区间对文件进行1000次有放回重采样，取2.5%和97.5%分位数；仅一个有效文件时不报告置信区间。</w:t>
      </w:r>
    </w:p>
    <w:p>
      <w:r>
        <w:rPr>
          <w:b w:val="0"/>
        </w:rPr>
        <w:t>结果中保存尝试数量、运行成功数量、各失败状态数量、有效指标记录数与空窗口等退化数量。成功率和分数一起报告；低成功覆盖率的高分不能直接解释为优胜。</w:t>
      </w:r>
    </w:p>
    <w:p>
      <w:r>
        <w:rPr>
          <w:b w:val="0"/>
        </w:rPr>
        <w:t>推理耗时包括特征适配、无监督源数估计及模型计算。单独记录进程端到端墙钟时间，包含首次模块/权重加载。峰值RSS按20ms轮询近似观测，包含进程基础内存，不能解释为精确算法增量或GPU显存峰值。</w:t>
      </w:r>
    </w:p>
    <w:p>
      <w:r>
        <w:rPr>
          <w:b w:val="0"/>
        </w:rPr>
        <w:t>源数据、配置、代码和权重均有校验记录。只允许相同快照断点续跑，发生变化必须使用新结果目录。测试标签仅用于规定的生成、源数筛选和评分，不作为模型输入。</w:t>
      </w:r>
    </w:p>
    <w:p>
      <w:r>
        <w:rPr>
          <w:b w:val="0"/>
        </w:rPr>
        <w:t>正式验收要检查所有场景计数、标签继承、角度回绕、窗口边界、调制公式与种子重现。人工样例应覆盖完美分选、标签置换、全合并、全拆散、全拒识、虚警混入以及空输入。</w:t>
      </w:r>
    </w:p>
    <w:p>
      <w:r>
        <w:rPr>
          <w:b w:val="0"/>
        </w:rPr>
        <w:t>严格论文复现还需确认公式/图结构、先验和原实验逐项一致。目前原计划的这一部分不能仅凭smoke运行通过就宣布完成。凡无数据、无权重、未运行或未通过核验的实验均不得填写虚构分数。</w:t>
      </w:r>
    </w:p>
    <w:p>
      <w:r>
        <w:rPr>
          <w:b w:val="0"/>
        </w:rPr>
        <w:t>参考依据包括本地10篇论文、TSRD README及Turing Deinterleaving Challenge官方评估代码。后者的cluster-wise最差簇最佳匹配F1/MCC与本方案脉冲对指标不同，若启用须以tdc_min_best前缀独立命名。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120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240"/>
      <w:contextualSpacing/>
    </w:pPr>
    <w:rPr>
      <w:rFonts w:asciiTheme="majorHAnsi" w:eastAsiaTheme="majorEastAsia" w:hAnsiTheme="majorHAnsi" w:cstheme="majorBidi" w:ascii="黑体" w:hAnsi="黑体" w:eastAsia="黑体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数据生成与评估方案</dc:title>
  <dc:subject>TSRD 雷达信号分选实验</dc:subject>
  <dc:creator/>
  <cp:keywords>TSRD, PDW, benchmark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