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Material — Reproducing Experimental Quantum Reservoir Computing in Simulation</w:t>
      </w:r>
    </w:p>
    <w:p>
      <w:pPr>
        <w:spacing w:after="240"/>
        <w:jc w:val="both"/>
      </w:pPr>
      <w:r>
        <w:rPr>
          <w:b w:val="0"/>
          <w:i w:val="0"/>
          <w:sz w:val="20"/>
        </w:rPr>
        <w:t>This document lists the complete experimental settings for every run reported in the main text, so that all results are reproducible from the released code.</w:t>
      </w:r>
    </w:p>
    <w:p>
      <w:pPr>
        <w:pStyle w:val="Heading1"/>
      </w:pPr>
      <w:r>
        <w:t>S1. Reservoir system (nine-spin crotonic acid)</w:t>
      </w:r>
    </w:p>
    <w:p>
      <w:pPr>
        <w:spacing w:after="120"/>
        <w:jc w:val="both"/>
      </w:pPr>
      <w:r>
        <w:rPr>
          <w:b w:val="0"/>
          <w:i w:val="0"/>
        </w:rPr>
        <w:t>Rotating-frame Hamiltonian H = Σ_i πν_i σz_i + Σ_{i&lt;j} (π/2) J_ij σz_i σz_j, with Lindblad relaxation (T1 amplitude damping, T2 pure dephasing, γφ = 1/T2 − 1/2T1). Chemical shifts are rotating-frame offsets referenced to 100.6273 MHz (13C) and 400.2118 MHz (1H). Readout is on the five protons; the four carbons are an inaccessible coupled bath. Methyl protons H3–H5 are magnetically equivalent.</w:t>
      </w:r>
    </w:p>
    <w:p>
      <w:r>
        <w:rPr>
          <w:i/>
          <w:sz w:val="18"/>
        </w:rPr>
        <w:t>Table S1. Chemical shifts and relaxation times (Hou et al. SM, Table II).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Spin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ν (Hz)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T1 (s)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T2* (ms)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−7749.7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5430.1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2699.9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7673.7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985.9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520.3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H3–H5 (methyl)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−1081.5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320</w:t>
            </w:r>
          </w:p>
        </w:tc>
      </w:tr>
    </w:tbl>
    <w:p>
      <w:pPr>
        <w:spacing w:after="120"/>
      </w:pPr>
    </w:p>
    <w:p>
      <w:r>
        <w:rPr>
          <w:i/>
          <w:sz w:val="18"/>
        </w:rPr>
        <w:t>Table S2. Scalar J-couplings (Hz); ‘Me’ = each methyl proton; intra-methyl J = 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Pair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J (Hz)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Pair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J (Hz)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Pair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J (Hz)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C1–C2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C2–C3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69.5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C1–C3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C1–C4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C2–C4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C3–C4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C1–H1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C2–H1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155.6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C3–H1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−1.8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C4–H1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C1–H2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C2–H2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−0.7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C3–H2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162.9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C4–H2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H1–H2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C1–Me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C2–Me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−7.1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C3–Me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C4–Me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−0.9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H1–Me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H2–Me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−1.7</w:t>
            </w:r>
          </w:p>
        </w:tc>
      </w:tr>
    </w:tbl>
    <w:p>
      <w:pPr>
        <w:spacing w:after="120"/>
      </w:pPr>
    </w:p>
    <w:p>
      <w:pPr>
        <w:pStyle w:val="Heading1"/>
      </w:pPr>
      <w:r>
        <w:t>S2. Input encoding and FID readout</w:t>
      </w:r>
    </w:p>
    <w:p>
      <w:pPr>
        <w:spacing w:after="120"/>
        <w:jc w:val="both"/>
      </w:pPr>
      <w:r>
        <w:rPr>
          <w:b w:val="0"/>
          <w:i w:val="0"/>
        </w:rPr>
        <w:t>Scalar inputs are normalised to [0,1] and encoded as a global rotation R_x(θ), θ = arcsin(√s). Multivariate inputs use frequency-selective encoding on distinct species (see per-task settings). Readout: a π/2 pulse on the protons, then the free-induction-decay S(t) = Tr[e^{tL}(UρU†) O_FID], O_FID = Σ_protons(σy+iσx), sampled on a uniform grid, Fourier-transformed; the largest-magnitude spectral bins (fixed across time steps) are the readout features. The non-readout (carbon) chemical-shift terms commute with the proton transverse operators and are dropped from the readout Liouvillian (exact; verified to ≈10⁻¹⁴).</w:t>
      </w:r>
    </w:p>
    <w:p>
      <w:pPr>
        <w:pStyle w:val="Heading1"/>
      </w:pPr>
      <w:r>
        <w:t>S3. Per-task settings</w:t>
      </w:r>
    </w:p>
    <w:p>
      <w:r>
        <w:rPr>
          <w:i/>
          <w:sz w:val="18"/>
        </w:rPr>
        <w:t>Table S3. Complete NARMA and weather experiment settings.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NARMA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Weather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Reservoir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crotonic9 (Table S1/S2)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crotonic9 (Table S1/S2)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superposition of sine waves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Delhi daily temp + humidity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Encoding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arcsin(√s) on all spins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temp→protons, humidity→carbons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Evolution time 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FID samples (fid_points)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FID dwell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 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Spectral peaks (features)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Washout / train / 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/ 400 /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/ 600 / 500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NARMA-n, n=2,5,10,15,20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horizon h=1,5,10,15,20,30,45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Readout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ridge, 10-fold CV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ridge, 10-fold CV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Nonlinear variant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RBF-SVR on QRC features (QRC+RBF)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NMSE = Σ(y−ŷ)²/Σy²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R² per variable per horizon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Multitasking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pass, readout per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pass, readout per horizon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Evolution 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GPU (torch CUDA)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GPU (torch CUDA)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Reservoir wall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≈4.0 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≈4.4 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 w:val="0"/>
          <w:i w:val="0"/>
          <w:sz w:val="20"/>
        </w:rPr>
        <w:t>Dataset: Delhi Daily Climate (Kaggle), train+test concatenated (≈1576 days); temperature and humidity each min-max normalised to [0,1]. Weather series columns: meantemp, humidity. Classical baseline: leaky-integrator Echo State Networks (tanh, spectral radius 0.9, ridge readout) of 500/1000/5000/10000 nodes, driven by the same 2-D input with identical splits and horizons.</w:t>
      </w:r>
    </w:p>
    <w:p>
      <w:pPr>
        <w:pStyle w:val="Heading1"/>
      </w:pPr>
      <w:r>
        <w:t>S4. Evolution backends</w:t>
      </w:r>
    </w:p>
    <w:p>
      <w:r>
        <w:rPr>
          <w:i/>
          <w:sz w:val="18"/>
        </w:rPr>
        <w:t>Table S4. The four cross-validated evolution backends (agree to ≤10⁻³).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Memory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N=9 cost / limit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propagator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dense Liouvillian superoperator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4^N dense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≈550 GB — infeasible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 (CPU)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sparse Krylov exp(t·L) (expm_multiply)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≈0.001% dense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≈6.5 s / matrix 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Taylor+substep exp(t·L), sparse CUDA matvecs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sparse on GPU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≈0.23 s (≈28× vs CPU)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mesolve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QuTiP adaptive 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2^N×2^N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reference; stiff past ~7 qubits</w:t>
            </w:r>
          </w:p>
        </w:tc>
      </w:tr>
    </w:tbl>
    <w:p>
      <w:pPr>
        <w:spacing w:after="120"/>
      </w:pPr>
    </w:p>
    <w:p>
      <w:pPr>
        <w:pStyle w:val="Heading1"/>
      </w:pPr>
      <w:r>
        <w:t>S5. Independent validation (SLEEPY)</w:t>
      </w:r>
    </w:p>
    <w:p>
      <w:pPr>
        <w:spacing w:after="120"/>
        <w:jc w:val="both"/>
      </w:pPr>
      <w:r>
        <w:rPr>
          <w:b w:val="0"/>
          <w:i w:val="0"/>
        </w:rPr>
        <w:t>A two-proton subsystem (H1, H2; ν = 985.9, 520.3 Hz; J = 15.8 Hz; T1 = 3.2, 3.4 s; T2 = 203, 332 ms) built identically in our QuTiP engine and in SLEEPY (sleepy-nmr 1.1.2). Complex FIDs (fid_points 1024/2048, dwell 0.3 ms) are compared: spectral peak positions agree to 0.27–0.49 Hz and the normalised FID traces to ≈0.3 % RMS — confirming the Lindblad implementation reproduces genuine NMR dynamics.</w:t>
      </w:r>
    </w:p>
    <w:p>
      <w:pPr>
        <w:pStyle w:val="Heading1"/>
      </w:pPr>
      <w:r>
        <w:t>S6. Software and hardware</w:t>
      </w:r>
    </w:p>
    <w:p>
      <w:pPr>
        <w:spacing w:after="120"/>
        <w:jc w:val="both"/>
      </w:pPr>
      <w:r>
        <w:rPr>
          <w:b w:val="0"/>
          <w:i w:val="0"/>
          <w:sz w:val="20"/>
        </w:rPr>
        <w:t>Python 3.12; QuTiP 5.3.0; PyTorch 2.10 (CUDA 12.8); SciPy 1.17; NumPy 2.2; scikit-learn; SLEEPY (sleepy-nmr) 1.1.2. GPU: NVIDIA GeForce RTX 5070 Ti (17 GB). All runs use fixed random seed 42; the GPU backend uses complex64 (validated to ≤2×10⁻³ against the exact CPU path).</w:t>
      </w:r>
    </w:p>
    <w:p>
      <w:pPr>
        <w:pStyle w:val="Heading1"/>
      </w:pPr>
      <w:r>
        <w:t>S7. NARMA: simulation vs experiment</w:t>
      </w:r>
    </w:p>
    <w:p>
      <w:pPr>
        <w:spacing w:after="120"/>
        <w:jc w:val="both"/>
      </w:pPr>
      <w:r>
        <w:rPr>
          <w:b w:val="0"/>
          <w:i w:val="0"/>
        </w:rPr>
        <w:t>For completeness, our simulated NARMA NMSE is compared directly with the experimental values of Hou et al. (Table I). The simulation reaches the same 10⁻⁵–10⁻⁶ regime and, on higher orders, undercuts the experiment — expected, as the simulation is noise-free whereas the experiment carries cross-correlated relaxation and systematic errors.</w:t>
      </w:r>
    </w:p>
    <w:p>
      <w:r>
        <w:rPr>
          <w:i/>
          <w:sz w:val="18"/>
        </w:rPr>
        <w:t>Table S5. NARMA NMSE: this work (simulation) vs Hou et al. Table I (experiment).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NARMA 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This work (sim)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Hou et al. (experiment)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5.19×10⁻⁶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1.74×10⁻⁷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5.21×10⁻⁵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4.44×10⁻⁵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2.46×10⁻⁵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5.84×10⁻⁵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1.82×10⁻⁵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6.37×10⁻⁵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3.24×10⁻⁶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4.34×10⁻⁵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147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narma_vs_exper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47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S1. NARMA NMSE versus order: this work (simulation, FID-653) against the experimental values of Hou et al. 2026 (Table I). Both occupy the same high-accuracy regime.</w:t>
      </w:r>
    </w:p>
    <w:p>
      <w:pPr>
        <w:spacing w:after="120"/>
        <w:jc w:val="both"/>
      </w:pPr>
      <w:r>
        <w:rPr>
          <w:b w:val="0"/>
          <w:i w:val="0"/>
          <w:sz w:val="20"/>
        </w:rPr>
        <w:t>Note on the weather comparison: Hou et al. report weather-forecasting skill only as a figure (their Fig. 4b), without a numerical table, and their raw outputs are distributed as large archived files. We therefore compare weather performance against classical ESNs computed under identical conditions in this work (main-text Table 3 / Fig. 2), which is the same quantum-reservoir-vs-ESN comparison the original figure makes; a numerical overlay of their experimental curve is not reproduced here to avoid imprecise figure digitisation.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