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Приложение к Техническому заданию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Глава 1. Финализация функциональных требований и глоссария («EV-ServiceDesk»)</w:t>
      </w:r>
    </w:p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БЭКЛОГ ФУНКЦИЙ ПО РОЛЯМ (приоритизация MoSCoW)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Источник — функциональная концепция ТЗ (разделы 3–4). Приоритеты Must/Should/Could отражают значимость для MVP и защиты дипломного проекта; статус baseline устанавливается после sign-off (см. раздел 4).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1.1. Роль: Клиент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телефону (SMS-код)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Добавление авто по VIN (автозаполнение марки/модели)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Карточка авто: марка/модель/пробег/история работ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Интерактивная схема авто со статусами-«светофор»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Карточка агрегата (боттом-шит): статус/дата/остаток ресурса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«Обучение» под модель/версию прошивки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«Устранение неполадок» (дерево решений)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Создание тикета из карточки ошибки (фото/видео)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Чат с инженером + история обращений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Push: новая прошивка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Push: приближение замены агрегата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Поддержка нескольких авто на аккаунте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уведомлений (агрегированная лента)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Новости/акции с таргетингом по модели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Привязка Telegram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1.2. Роль: Инженер поддержки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Канбан-доска тикетов (SLA, категория)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Смена статуса тикета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Быстрый доступ к базе знаний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карточки авто клиента из тикета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Фиксация замены агрегата (сброс счётчика)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Тёмная тема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1.3. Роль: Администратор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Конструктор регламентов ТО по моделям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Конструктор статей базы знаний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Публикация прошивок/новостей/акций с таргетингом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Управление пользователями и ролями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Аналитика: среднее время закрытия тикета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Аналитика: проблемные модели / конверсия в ТО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Расширение справочника агрегатов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1.4. Сквозные (инфраструктурные) требования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RBAC на уровне API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SMS-провайдер (интеграция)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S3-хранилище файлов (фото/видео, прошивки)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Хэширование паролей/кодов, uptime ≥99.5%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VIN-декодер (интеграция/мок)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Telegram Bot API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Could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1.5. Нефункциональные требования (добавлено по результатам трассировки ТЗ, разделы 6–7)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N-01. Mobile-first для клиента; рабочее место инженера — десктоп Full HD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N-02. Контраст текста ≥ 4.5:1 (WCAG); статус агрегата дублируется иконкой/подписью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N-03. Правило 3-х кликов: тикет, статус агрегата, обучение — не более 3 тапов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N-04. Минимизация ввода: модель, симптом, категория — выпадающие списки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N-05. Схема авто читаема от 360 px, зона тапа не менее 44×44 px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N-06. Ограничение попыток ввода SMS-кода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N-07. VIN и телефон — персональные данные; обработка по законодательству о ПД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N-08. Хэширование паролей/кодов bcrypt/argon2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N-09. Тикет автоматически получает модель авто и версию прошивки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N-10. Push о ТО — за N дней/км до порога «требуется замена»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1.5. Нефункциональные требования (добавлено по результатам трассировки ТЗ, разделы 6–7)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tblHeader/>
        </w:trP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N-01. Mobile-first для клиента; рабочее место инженера — десктоп Full HD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N-02. Контраст текста ≥ 4.5:1 (WCAG); статус агрегата дублируется иконкой/подписью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N-03. Правило 3-х кликов: тикет, статус агрегата, обучение — не более 3 тапов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N-04. Минимизация ввода: модель, симптом, категория — выпадающие списки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Should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N-05. Схема авто читаема от 360 px, зона тапа не менее 44×44 px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N-06. Ограничение попыток ввода SMS-кода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N-07. VIN и телефон — персональные данные; обработка по законодательству о ПД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N-08. Хэширование паролей/кодов bcrypt/argon2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N-09. Тикет автоматически получает модель авто и версию прошивки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  <w:tr>
        <w:tc>
          <w:tcPr>
            <w:tcW w:type="dxa" w:w="7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N-10. Push о ТО — за N дней/км до порога «требуется замена»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Must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1.6. Won't have (данная итерация)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Удалённая перепрошивка автомобиля из приложения — явно исключена ТЗ (раздел 7): уведомления о прошивке носят информационный характер.</w:t>
      </w:r>
    </w:p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ГЛОССАРИЙ ТЕРМИНОВ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Термин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Определение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VIN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Идентификационный номер автомобиля (17 символов); используется для привязки авто к аккаунту и автозаполнения марки/модели/комплектации.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Агрегат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Контролируемый узел/расходник авто (масло двигателя, масляный/воздушный/салонный фильтр, масло редуктора, фреон конд.); список расширяем через админ-панель.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Регламент ТО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Заданный администратором для модели авто интервал (пробег/время) до плановой замены агрегата; не «зашит» в код.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Статус «светофор»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Расчётное состояние агрегата: 🟢 Заменено (до 70% интервала) / 🟡 Скоро менять (70–100%) / 🔴 Требуется замена (&gt;100%).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Цифровой паспорт автомобиля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Персональный раздел клиентского приложения: интерактивная схема агрегатов, история ТО, статусы.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Тикет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Обращение клиента в поддержку: категория (Навигация/Звук/SIM-связь/Сбой приложения/Агрегаты-ТО), статус, история переписки.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Статус тикета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величина от статуса агрегата: Новый → В работе → Ожидает вендора → Решено.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SLA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Целевой норматив обработки обращения (напр. первичный ответ — до 15 минут).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Дерево решений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Пошаговый сценарий самопомощи по типовой ошибке с точкой эскалации в тикет.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База знаний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Статьи/инструкции для клиента («Обучение») и готовые ответы для инженера.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мультимедийной системы авто; уведомления — информационные, удалённая перепрошивка приложением не выполняется.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Русификация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Услуга компании по адаптации мультимедиа на русский язык — после неё клиенту устанавливается приложение.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RBAC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Модель разграничения доступа по ролям на уровне API.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Роль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Клиент / Инженер поддержки (Оператор) / Администратор.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Push-уведомление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Сообщение через Firebase Cloud Messaging (прошивка, ТО, новости/акции).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VIN-декодер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Внешний сервис/API определения марки/модели по VIN.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Канбан-доска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Инструмент инженера: тикеты, сгруппированные по статусу/приоритету/SLA.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Остаток ресурса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Расчётное значение (км/дни) до порога замены агрегата.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Uptime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Доля времени доступности системы (целевой показатель — не менее 99.5%).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WCAG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Стандарт доступности; в ТЗ — контраст текста не менее 4.5:1.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MoSCoW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Метод приоритизации требований: Must / Should / Could / Won't have.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MVP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Минимально жизнеспособный набор функций для первого релиза.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DoD (Definition of Done)</w:t>
            </w:r>
          </w:p>
        </w:tc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Согласованный критерий завершённости этапа/главы разработки.</w:t>
            </w:r>
          </w:p>
        </w:tc>
      </w:tr>
    </w:tbl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RBAC-МАТРИЦА «РОЛЬ × ДЕЙСТВИЕ × ДОСТУП»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Матрица сверена с фактическими x-required-roles эндпоинтов контракта Главы 3 (openapi.yaml) — 3 неточности первой версии (разделение добавления/просмотра/удаления авто, разделение чтения/записи справочника агрегатов, отдельное действие «назначение тикета») исправлены по результатам сверки.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1800"/>
        <w:gridCol w:w="1800"/>
        <w:gridCol w:w="1800"/>
      </w:tblGrid>
      <w:tr>
        <w:trPr>
          <w:tblHeader/>
        </w:trP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Инженер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Регистрация/авторизация (свой аккаунт)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(служебный вход)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своего профиля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 + 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Добавление авто (VIN)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авто (карточка)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(свои)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(клиента, из тикета)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Удаление авто (soft-delete)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Обновление пробега авто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(при визите в сервис)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статусов агрегатов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(свои)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(клиента, из тикета)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Фиксация замены агрегата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CRUD регламентов ТО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(только просмотр)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справочника агрегатов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справочника агрегатов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Создание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(свои)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(все/назначенные)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(все)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Назначение тикета инженеру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(самоназначение, claim)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(переназначение)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Смена статуса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(переопределение)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Сообщения в чате тикета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(свой тикет)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(назначенный тикет)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 (просмотр всех)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CRUD статей базы знаний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(чтение)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(чтение)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статей / дерева решений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Публикация новостей/акций/прошивок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Получение push-уведомлений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 (опц. служебные)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Просмотр аналитики (дашборд)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3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Управление пользователями и ролями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</w:tbl>
    <w:p>
      <w:pPr>
        <w:spacing w:after="200" w:before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SIGN-OFF ТРЕБОВАНИЙ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8"/>
          <w:szCs w:val="28"/>
        </w:rPr>
        <w:t xml:space="preserve">Настоящий документ (бэклог, глоссарий, RBAC-матрица) представляется на утверждение руководителю дипломного проекта и представителю заказчика — ООО «ЕТСавтоГомель» — для фиксации базовой версии (baseline) функциональных требований перед началом проектирования БД (Глава 2).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Руководитель проекта: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Дата: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Представитель заказчика (ООО «ЕТСавтоГомель»):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Дата:</w:t>
      </w:r>
      <w:r>
        <w:rPr>
          <w:rFonts w:ascii="Calibri" w:cs="Calibri" w:eastAsia="Calibri" w:hAnsi="Calibri"/>
          <w:sz w:val="28"/>
          <w:szCs w:val="28"/>
        </w:rPr>
        <w:t xml:space="preserve"> 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2026-09-14T00:44:32.584Z</dcterms:created>
  <dcterms:modified xsi:type="dcterms:W3CDTF">2026-09-14T00:44:32.593Z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