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Приложение к Техническому заданию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Глава 1. Финализация функциональных требований и глоссария («EV-ServiceDesk»)</w:t>
      </w:r>
    </w:p>
    <w:p>
      <w:pPr>
        <w:spacing w:after="20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БЭКЛОГ ФУНКЦИЙ ПО РОЛЯМ (приоритизация MoSCoW)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8"/>
          <w:szCs w:val="28"/>
        </w:rPr>
        <w:t xml:space="preserve">Источник — функциональная концепция ТЗ (разделы 3–4). Приоритеты Must/Should/Could отражают значимость для MVP и защиты дипломного проекта; статус baseline устанавливается после sign-off (см. раздел 4).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1.1. Роль: Клиент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rPr>
          <w:tblHeader/>
        </w:trP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Функция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Приоритет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Регистрация по телефону (SMS-код)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Добавление авто по VIN (автозаполнение марки/модели)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Карточка авто: марка/модель/пробег/история работ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Интерактивная схема авто со статусами-«светофор»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Карточка агрегата (боттом-шит): статус/дата/остаток ресурса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Раздел «Обучение» под модель/версию прошивки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«Устранение неполадок» (дерево решений)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Создание тикета из карточки ошибки (фото/видео)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Чат с инженером + история обращений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Push: новая прошивка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Push: приближение замены агрегата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Поддержка нескольких авто на аккаунте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Should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Центр уведомлений (агрегированная лента)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Should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Новости/акции с таргетингом по модели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Should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Привязка Telegram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Could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1.2. Роль: Инженер поддержки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rPr>
          <w:tblHeader/>
        </w:trP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Функция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Приоритет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Канбан-доска тикетов (SLA, категория)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Смена статуса тикета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Быстрый доступ к базе знаний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Просмотр карточки авто клиента из тикета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Фиксация замены агрегата (сброс счётчика)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Тёмная тема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Could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1.3. Роль: Администратор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rPr>
          <w:tblHeader/>
        </w:trP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Функция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Приоритет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Конструктор регламентов ТО по моделям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Конструктор статей базы знаний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Публикация прошивок/новостей/акций с таргетингом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Управление пользователями и ролями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Аналитика: среднее время закрытия тикета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Аналитика: проблемные модели / конверсия в ТО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Should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Расширение справочника агрегатов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Should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1.4. Сквозные (инфраструктурные) требования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rPr>
          <w:tblHeader/>
        </w:trP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Функция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Приоритет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RBAC на уровне 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SMS-провайдер (интеграция)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S3-хранилище файлов (фото/видео, прошивки)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Хэширование паролей/кодов, uptime ≥99.5%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VIN-декодер (интеграция/мок)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Should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Telegram Bot 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Could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1.5. Нефункциональные требования (добавлено по результатам трассировки ТЗ, разделы 6–7)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rPr>
          <w:tblHeader/>
        </w:trP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Функция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Приоритет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N-01. Mobile-first для клиента; рабочее место инженера — десктоп Full HD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N-02. Контраст текста ≥ 4.5:1 (WCAG); статус агрегата дублируется иконкой/подписью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N-03. Правило 3-х кликов: тикет, статус агрегата, обучение — не более 3 тапов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N-04. Минимизация ввода: модель, симптом, категория — выпадающие списки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Should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N-05. Схема авто читаема от 360 px, зона тапа не менее 44×44 px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N-06. Ограничение попыток ввода SMS-кода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N-07. VIN и телефон — персональные данные; обработка по законодательству о ПД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N-08. Хэширование паролей/кодов bcrypt/argon2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N-09. Тикет автоматически получает модель авто и версию прошивки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N-10. Push о ТО — за N дней/км до порога «требуется замена»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Must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1.6. Won't have (данная итерация)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8"/>
          <w:szCs w:val="28"/>
        </w:rPr>
        <w:t xml:space="preserve">Удалённая перепрошивка автомобиля из приложения — явно исключена ТЗ (раздел 7): уведомления о прошивке носят информационный характер.</w:t>
      </w:r>
    </w:p>
    <w:p>
      <w:pPr>
        <w:spacing w:after="20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ГЛОССАРИЙ ТЕРМИНОВ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Термин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Определение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VIN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Идентификационный номер автомобиля (17 символов); используется для привязки авто к аккаунту и автозаполнения марки/модели/комплектации.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Агрегат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Контролируемый узел/расходник авто (масло двигателя, масляный/воздушный/салонный фильтр, масло редуктора, фреон конд.); список расширяем через админ-панель.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Регламент ТО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Заданный администратором для модели авто интервал (пробег/время) до плановой замены агрегата; не «зашит» в код.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Статус «светофор»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Расчётное состояние агрегата: 🟢 Заменено (до 70% интервала) / 🟡 Скоро менять (70–100%) / 🔴 Требуется замена (&gt;100%).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Цифровой паспорт автомобиля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Персональный раздел клиентского приложения: интерактивная схема агрегатов, история ТО, статусы.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Тикет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Обращение клиента в поддержку: категория (Навигация/Звук/SIM-связь/Сбой приложения/Агрегаты-ТО), статус, история переписки.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Статус тикета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Отдельная величина от статуса агрегата: Новый → В работе → Ожидает вендора → Решено.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SLA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Целевой норматив обработки обращения (напр. первичный ответ — до 15 минут).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Дерево решений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Пошаговый сценарий самопомощи по типовой ошибке с точкой эскалации в тикет.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База знаний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Статьи/инструкции для клиента («Обучение») и готовые ответы для инженера.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Прошивка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ПО мультимедийной системы авто; уведомления — информационные, удалённая перепрошивка приложением не выполняется.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Русификация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Услуга компании по адаптации мультимедиа на русский язык — после неё клиенту устанавливается приложение.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RBAC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Модель разграничения доступа по ролям на уровне API.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Роль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Клиент / Инженер поддержки (Оператор) / Администратор.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Push-уведомление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Сообщение через Firebase Cloud Messaging (прошивка, ТО, новости/акции).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VIN-декодер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Внешний сервис/API определения марки/модели по VIN.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Канбан-доска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Инструмент инженера: тикеты, сгруппированные по статусу/приоритету/SLA.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Остаток ресурса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Расчётное значение (км/дни) до порога замены агрегата.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Uptime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Доля времени доступности системы (целевой показатель — не менее 99.5%).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WCAG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Стандарт доступности; в ТЗ — контраст текста не менее 4.5:1.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MoSCoW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Метод приоритизации требований: Must / Should / Could / Won't have.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MVP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Минимально жизнеспособный набор функций для первого релиза.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DoD (Definition of Done)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Согласованный критерий завершённости этапа/главы разработки.</w:t>
            </w:r>
          </w:p>
        </w:tc>
      </w:tr>
    </w:tbl>
    <w:p>
      <w:pPr>
        <w:spacing w:after="20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RBAC-МАТРИЦА «РОЛЬ × ДЕЙСТВИЕ × ДОСТУП»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8"/>
          <w:szCs w:val="28"/>
        </w:rPr>
        <w:t xml:space="preserve">Матрица сверена с фактическими x-required-roles эндпоинтов контракта Главы 3 (openapi.yaml) — 3 неточности первой версии (разделение добавления/просмотра/удаления авто, разделение чтения/записи справочника агрегатов, отдельное действие «назначение тикета») исправлены по результатам сверки.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800"/>
        <w:gridCol w:w="1800"/>
        <w:gridCol w:w="1800"/>
      </w:tblGrid>
      <w:tr>
        <w:trPr>
          <w:tblHeader/>
        </w:trP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Действие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Клиент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Инженер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Администратор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Регистрация/авторизация (свой аккаунт)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 (служебный вход)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Просмотр своего профиля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 (свой)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 (свой)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 (свой + все)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Добавление авто (VIN)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 (свой)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Просмотр авто (карточка)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 (свои)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 (клиента, из тикета)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 (все)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Удаление авто (soft-delete)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 (свой)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Обновление пробега авто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 (свой)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 (при визите в сервис)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Просмотр статусов агрегатов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 (свои)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 (клиента, из тикета)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 (все)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Фиксация замены агрегата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CRUD регламентов ТО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Нет (только просмотр)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Просмотр справочника агрегатов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Изменение справочника агрегатов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Создание тикета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 (свой)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Просмотр тикета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 (свои)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 (все/назначенные)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 (все)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Назначение тикета инженеру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 (самоназначение, claim)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 (переназначение)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Смена статуса тикета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 (переопределение)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Сообщения в чате тикета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 (свой тикет)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 (назначенный тикет)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 (просмотр всех)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CRUD статей базы знаний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Нет (чтение)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Нет (чтение)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Просмотр статей / дерева решений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Публикация новостей/акций/прошивок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Получение push-уведомлений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Нет (опц. служебные)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Просмотр аналитики (дашборд)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Управление пользователями и ролями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</w:tbl>
    <w:p>
      <w:pPr>
        <w:spacing w:after="20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SIGN-OFF ТРЕБОВАНИЙ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8"/>
          <w:szCs w:val="28"/>
        </w:rPr>
        <w:t xml:space="preserve">Настоящий документ (бэклог, глоссарий, RBAC-матрица) представляется на утверждение руководителю дипломного проекта и представителю заказчика — ООО «ЕТСавтоГомель» — для фиксации базовой версии (baseline) функциональных требований перед началом проектирования БД (Глава 2).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Руководитель проекта:</w:t>
      </w:r>
      <w:r>
        <w:rPr>
          <w:rFonts w:ascii="Calibri" w:cs="Calibri" w:eastAsia="Calibri" w:hAnsi="Calibri"/>
          <w:sz w:val="28"/>
          <w:szCs w:val="28"/>
        </w:rPr>
        <w:t xml:space="preserve"> ____________________________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Дата:</w:t>
      </w:r>
      <w:r>
        <w:rPr>
          <w:rFonts w:ascii="Calibri" w:cs="Calibri" w:eastAsia="Calibri" w:hAnsi="Calibri"/>
          <w:sz w:val="28"/>
          <w:szCs w:val="28"/>
        </w:rPr>
        <w:t xml:space="preserve"> ____________________________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Представитель заказчика (ООО «ЕТСавтоГомель»):</w:t>
      </w:r>
      <w:r>
        <w:rPr>
          <w:rFonts w:ascii="Calibri" w:cs="Calibri" w:eastAsia="Calibri" w:hAnsi="Calibri"/>
          <w:sz w:val="28"/>
          <w:szCs w:val="28"/>
        </w:rPr>
        <w:t xml:space="preserve"> ____________________________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Дата:</w:t>
      </w:r>
      <w:r>
        <w:rPr>
          <w:rFonts w:ascii="Calibri" w:cs="Calibri" w:eastAsia="Calibri" w:hAnsi="Calibri"/>
          <w:sz w:val="28"/>
          <w:szCs w:val="28"/>
        </w:rPr>
        <w:t xml:space="preserve"> 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2026-09-14T00:44:32.584Z</dcterms:created>
  <dcterms:modified xsi:type="dcterms:W3CDTF">2026-09-14T00:44:32.593Z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