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Coarse constructions do not stably reorder the five retrievers.</w:t>
      </w:r>
    </w:p>
    <w:p>
      <w:pPr>
        <w:pStyle w:val="ListParagraph"/>
        <w:numPr>
          <w:ilvl w:val="0"/>
          <w:numId w:val="1"/>
        </w:numPr>
      </w:pPr>
      <w:r>
        <w:t xml:space="preserve">Held-out Recall@100 rises from 0.331 to 0.442 (+0.111).</w:t>
      </w:r>
    </w:p>
    <w:p>
      <w:pPr>
        <w:pStyle w:val="ListParagraph"/>
        <w:numPr>
          <w:ilvl w:val="0"/>
          <w:numId w:val="1"/>
        </w:numPr>
      </w:pPr>
      <w:r>
        <w:t xml:space="preserve">At Top-200, 78% of relevant patent families are not exposed.</w:t>
      </w:r>
    </w:p>
    <w:p>
      <w:pPr>
        <w:pStyle w:val="ListParagraph"/>
        <w:numPr>
          <w:ilvl w:val="0"/>
          <w:numId w:val="1"/>
        </w:numPr>
      </w:pPr>
      <w:r>
        <w:t xml:space="preserve">Reordering adds 0.072 Recall@100; depth 1,000 adds 0.341.</w:t>
      </w:r>
    </w:p>
    <w:p>
      <w:pPr>
        <w:pStyle w:val="ListParagraph"/>
        <w:numPr>
          <w:ilvl w:val="0"/>
          <w:numId w:val="1"/>
        </w:numPr>
      </w:pPr>
      <w:r>
        <w:t xml:space="preserve">We propose configuration-level reporting for AI-assisted patent 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- Beyond the retriever</dc:title>
  <dc:creator>Siripon Srihangpiboon</dc:creator>
  <dc:description>Elsevier submission highlights for World Patent Information</dc:description>
  <cp:lastModifiedBy>Un-named</cp:lastModifiedBy>
  <cp:revision>1</cp:revision>
  <dcterms:created xsi:type="dcterms:W3CDTF">2026-09-02T11:46:16.823Z</dcterms:created>
  <dcterms:modified xsi:type="dcterms:W3CDTF">2026-09-02T11:46:16.823Z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