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8"/>
          <w:szCs w:val="28"/>
        </w:rPr>
        <w:t xml:space="preserve">ACME FINANCIAL SERVICES</w:t>
      </w:r>
    </w:p>
    <w:p>
      <w:pPr>
        <w:spacing w:after="60"/>
      </w:pPr>
      <w:r>
        <w:rPr>
          <w:b/>
          <w:bCs/>
          <w:color w:val="1F3864"/>
          <w:sz w:val="40"/>
          <w:szCs w:val="40"/>
        </w:rPr>
        <w:t xml:space="preserve">Anti-Money Laundering (AML) Policy</w:t>
      </w:r>
    </w:p>
    <w:p>
      <w:pPr>
        <w:pBdr>
          <w:bottom w:val="single" w:color="2E75B6"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Document ID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Version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Effective Date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Policy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POL-001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v3.2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January 15,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Chief Compliance Officer</w:t>
            </w:r>
          </w:p>
        </w:tc>
      </w:tr>
    </w:tbl>
    <w:p>
      <w:pPr>
        <w:spacing w:after="240"/>
      </w:pPr>
    </w:p>
    <w:p>
      <w:pPr>
        <w:pStyle w:val="Heading1"/>
        <w:spacing w:after="160" w:before="320"/>
      </w:pPr>
      <w:r>
        <w:rPr>
          <w:b/>
          <w:bCs/>
          <w:color w:val="1F3864"/>
          <w:sz w:val="28"/>
          <w:szCs w:val="28"/>
        </w:rPr>
        <w:t xml:space="preserve">1. Purpose &amp; Scope</w:t>
      </w:r>
    </w:p>
    <w:p>
      <w:pPr>
        <w:spacing w:after="160"/>
      </w:pPr>
      <w:r>
        <w:rPr>
          <w:sz w:val="22"/>
          <w:szCs w:val="22"/>
        </w:rPr>
        <w:t xml:space="preserve">This policy establishes the framework for Acme Financial Services to detect, prevent, and report money laundering activities in compliance with the Financial Action Task Force (FATF) Recommendations, the UK Proceeds of Crime Act 2002, and applicable international AML regulations.</w:t>
      </w:r>
    </w:p>
    <w:p>
      <w:pPr>
        <w:spacing w:after="160"/>
      </w:pPr>
      <w:r>
        <w:rPr>
          <w:sz w:val="22"/>
          <w:szCs w:val="22"/>
        </w:rPr>
        <w:t xml:space="preserve">This policy applies to all employees, contractors, agents, and third parties acting on behalf of Acme Financial Services across all jurisdictions of operation.</w:t>
      </w:r>
    </w:p>
    <w:p>
      <w:pPr>
        <w:spacing w:after="200"/>
      </w:pPr>
    </w:p>
    <w:p>
      <w:pPr>
        <w:pStyle w:val="Heading1"/>
        <w:spacing w:after="160" w:before="320"/>
      </w:pPr>
      <w:r>
        <w:rPr>
          <w:b/>
          <w:bCs/>
          <w:color w:val="1F3864"/>
          <w:sz w:val="28"/>
          <w:szCs w:val="28"/>
        </w:rPr>
        <w:t xml:space="preserve">2. Key Requirements</w:t>
      </w:r>
    </w:p>
    <w:p>
      <w:pPr>
        <w:pStyle w:val="Heading2"/>
        <w:spacing w:after="120" w:before="240"/>
      </w:pPr>
      <w:r>
        <w:rPr>
          <w:b/>
          <w:bCs/>
          <w:color w:val="2E75B6"/>
          <w:sz w:val="24"/>
          <w:szCs w:val="24"/>
        </w:rPr>
        <w:t xml:space="preserve">2.1 Transaction Reporting Thresholds</w:t>
      </w:r>
    </w:p>
    <w:p>
      <w:pPr>
        <w:pStyle w:val="ListParagraph"/>
        <w:numPr>
          <w:ilvl w:val="0"/>
          <w:numId w:val="2"/>
        </w:numPr>
        <w:spacing w:after="80"/>
      </w:pPr>
      <w:r>
        <w:rPr>
          <w:sz w:val="22"/>
          <w:szCs w:val="22"/>
        </w:rPr>
        <w:t xml:space="preserve">All cash transactions exceeding $10,000 USD (or equivalent) must be reported to the compliance team within 24 hours</w:t>
      </w:r>
    </w:p>
    <w:p>
      <w:pPr>
        <w:pStyle w:val="ListParagraph"/>
        <w:numPr>
          <w:ilvl w:val="0"/>
          <w:numId w:val="2"/>
        </w:numPr>
        <w:spacing w:after="80"/>
      </w:pPr>
      <w:r>
        <w:rPr>
          <w:sz w:val="22"/>
          <w:szCs w:val="22"/>
        </w:rPr>
        <w:t xml:space="preserve">Structured transactions designed to avoid reporting thresholds are strictly prohibited</w:t>
      </w:r>
    </w:p>
    <w:p>
      <w:pPr>
        <w:pStyle w:val="ListParagraph"/>
        <w:numPr>
          <w:ilvl w:val="0"/>
          <w:numId w:val="2"/>
        </w:numPr>
        <w:spacing w:after="80"/>
      </w:pPr>
      <w:r>
        <w:rPr>
          <w:sz w:val="22"/>
          <w:szCs w:val="22"/>
        </w:rPr>
        <w:t xml:space="preserve">Suspicious Activity Reports (SARs) must be filed within 30 days of detection</w:t>
      </w:r>
    </w:p>
    <w:p>
      <w:pPr>
        <w:pStyle w:val="ListParagraph"/>
        <w:numPr>
          <w:ilvl w:val="0"/>
          <w:numId w:val="2"/>
        </w:numPr>
        <w:spacing w:after="80"/>
      </w:pPr>
      <w:r>
        <w:rPr>
          <w:sz w:val="22"/>
          <w:szCs w:val="22"/>
        </w:rPr>
        <w:t xml:space="preserve">Currency Transaction Reports (CTRs) required for transactions above $10,000 regardless of suspicion</w:t>
      </w:r>
    </w:p>
    <w:p>
      <w:pPr>
        <w:spacing w:after="200"/>
      </w:pPr>
    </w:p>
    <w:p>
      <w:pPr>
        <w:pStyle w:val="Heading2"/>
        <w:spacing w:after="120" w:before="240"/>
      </w:pPr>
      <w:r>
        <w:rPr>
          <w:b/>
          <w:bCs/>
          <w:color w:val="2E75B6"/>
          <w:sz w:val="24"/>
          <w:szCs w:val="24"/>
        </w:rPr>
        <w:t xml:space="preserve">2.2 Customer Due Diligence (CDD)</w:t>
      </w:r>
    </w:p>
    <w:p>
      <w:pPr>
        <w:pStyle w:val="ListParagraph"/>
        <w:numPr>
          <w:ilvl w:val="0"/>
          <w:numId w:val="2"/>
        </w:numPr>
        <w:spacing w:after="80"/>
      </w:pPr>
      <w:r>
        <w:rPr>
          <w:sz w:val="22"/>
          <w:szCs w:val="22"/>
        </w:rPr>
        <w:t xml:space="preserve">Enhanced due diligence (EDD) required for all Politically Exposed Persons (PEPs)</w:t>
      </w:r>
    </w:p>
    <w:p>
      <w:pPr>
        <w:pStyle w:val="ListParagraph"/>
        <w:numPr>
          <w:ilvl w:val="0"/>
          <w:numId w:val="2"/>
        </w:numPr>
        <w:spacing w:after="80"/>
      </w:pPr>
      <w:r>
        <w:rPr>
          <w:sz w:val="22"/>
          <w:szCs w:val="22"/>
        </w:rPr>
        <w:t xml:space="preserve">Customer identity verification mandatory before account opening</w:t>
      </w:r>
    </w:p>
    <w:p>
      <w:pPr>
        <w:pStyle w:val="ListParagraph"/>
        <w:numPr>
          <w:ilvl w:val="0"/>
          <w:numId w:val="2"/>
        </w:numPr>
        <w:spacing w:after="80"/>
      </w:pPr>
      <w:r>
        <w:rPr>
          <w:sz w:val="22"/>
          <w:szCs w:val="22"/>
        </w:rPr>
        <w:t xml:space="preserve">Beneficial ownership identification required for all legal entities</w:t>
      </w:r>
    </w:p>
    <w:p>
      <w:pPr>
        <w:pStyle w:val="ListParagraph"/>
        <w:numPr>
          <w:ilvl w:val="0"/>
          <w:numId w:val="2"/>
        </w:numPr>
        <w:spacing w:after="80"/>
      </w:pPr>
      <w:r>
        <w:rPr>
          <w:sz w:val="22"/>
          <w:szCs w:val="22"/>
        </w:rPr>
        <w:t xml:space="preserve">Ongoing monitoring of customer transactions and risk profiles</w:t>
      </w:r>
    </w:p>
    <w:p>
      <w:pPr>
        <w:spacing w:after="200"/>
      </w:pPr>
    </w:p>
    <w:p>
      <w:pPr>
        <w:pStyle w:val="Heading2"/>
        <w:spacing w:after="120" w:before="240"/>
      </w:pPr>
      <w:r>
        <w:rPr>
          <w:b/>
          <w:bCs/>
          <w:color w:val="2E75B6"/>
          <w:sz w:val="24"/>
          <w:szCs w:val="24"/>
        </w:rPr>
        <w:t xml:space="preserve">2.3 Suspicious Activity Reporting</w:t>
      </w:r>
    </w:p>
    <w:p>
      <w:pPr>
        <w:pStyle w:val="ListParagraph"/>
        <w:numPr>
          <w:ilvl w:val="0"/>
          <w:numId w:val="2"/>
        </w:numPr>
        <w:spacing w:after="80"/>
      </w:pPr>
      <w:r>
        <w:rPr>
          <w:sz w:val="22"/>
          <w:szCs w:val="22"/>
        </w:rPr>
        <w:t xml:space="preserve">Employees must report suspicious activity to the Money Laundering Reporting Officer (MLRO) immediately</w:t>
      </w:r>
    </w:p>
    <w:p>
      <w:pPr>
        <w:pStyle w:val="ListParagraph"/>
        <w:numPr>
          <w:ilvl w:val="0"/>
          <w:numId w:val="2"/>
        </w:numPr>
        <w:spacing w:after="80"/>
      </w:pPr>
      <w:r>
        <w:rPr>
          <w:sz w:val="22"/>
          <w:szCs w:val="22"/>
        </w:rPr>
        <w:t xml:space="preserve">Tipping off customers about SAR filings is strictly prohibited</w:t>
      </w:r>
    </w:p>
    <w:p>
      <w:pPr>
        <w:pStyle w:val="ListParagraph"/>
        <w:numPr>
          <w:ilvl w:val="0"/>
          <w:numId w:val="2"/>
        </w:numPr>
        <w:spacing w:after="80"/>
      </w:pPr>
      <w:r>
        <w:rPr>
          <w:sz w:val="22"/>
          <w:szCs w:val="22"/>
        </w:rPr>
        <w:t xml:space="preserve">All staff must complete annual AML training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2"/>
              <w:bottom w:val="single" w:color="C00000" w:sz="2"/>
              <w:right w:val="single" w:color="C00000" w:sz="2"/>
            </w:tcBorders>
            <w:shd w:fill="FFF2CC" w:val="clear"/>
            <w:tcMar>
              <w:top w:type="dxa" w:w="120"/>
              <w:left w:type="dxa" w:w="180"/>
              <w:bottom w:type="dxa" w:w="120"/>
              <w:right w:type="dxa" w:w="180"/>
            </w:tcMar>
          </w:tcPr>
          <w:p>
            <w:r>
              <w:rPr>
                <w:b/>
                <w:bCs/>
                <w:color w:val="C00000"/>
                <w:sz w:val="22"/>
                <w:szCs w:val="22"/>
              </w:rPr>
              <w:t xml:space="preserve">⚠️  IMPORTANT: </w:t>
            </w:r>
            <w:r>
              <w:rPr>
                <w:color w:val="333333"/>
                <w:sz w:val="22"/>
                <w:szCs w:val="22"/>
              </w:rPr>
              <w:t xml:space="preserve">Non-compliance with AML requirements may result in regulatory sanctions, criminal prosecution, and reputational damage. Violations must be escalated immediately to the MLRO and Legal team.</w:t>
            </w:r>
          </w:p>
        </w:tc>
      </w:tr>
    </w:tbl>
    <w:p>
      <w:pPr>
        <w:spacing w:after="200"/>
      </w:pPr>
    </w:p>
    <w:p>
      <w:pPr>
        <w:pStyle w:val="Heading1"/>
        <w:spacing w:after="160" w:before="320"/>
      </w:pPr>
      <w:r>
        <w:rPr>
          <w:b/>
          <w:bCs/>
          <w:color w:val="1F3864"/>
          <w:sz w:val="28"/>
          <w:szCs w:val="28"/>
        </w:rPr>
        <w:t xml:space="preserve">3. Compliance Monitoring</w:t>
      </w:r>
    </w:p>
    <w:p>
      <w:pPr>
        <w:spacing w:after="160"/>
      </w:pPr>
      <w:r>
        <w:rPr>
          <w:sz w:val="22"/>
          <w:szCs w:val="22"/>
        </w:rPr>
        <w:t xml:space="preserve">The Compliance department conducts quarterly AML audits and annual independent reviews. All exceptions must be documented and escalated to the Chief Compliance Officer within 48 hours of identification.</w:t>
      </w:r>
    </w:p>
    <w:p>
      <w:pPr>
        <w:spacing w:after="200"/>
      </w:pPr>
    </w:p>
    <w:p>
      <w:pPr>
        <w:pStyle w:val="Heading1"/>
        <w:spacing w:after="160" w:before="320"/>
      </w:pPr>
      <w:r>
        <w:rPr>
          <w:b/>
          <w:bCs/>
          <w:color w:val="1F3864"/>
          <w:sz w:val="28"/>
          <w:szCs w:val="28"/>
        </w:rPr>
        <w:t xml:space="preserve">4. Policy Review</w:t>
      </w:r>
    </w:p>
    <w:p>
      <w:pPr>
        <w:spacing w:after="160"/>
      </w:pPr>
      <w:r>
        <w:rPr>
          <w:sz w:val="22"/>
          <w:szCs w:val="22"/>
        </w:rPr>
        <w:t xml:space="preserve">This policy is reviewed annually or upon significant regulatory changes. The next scheduled review is January 2025. The Policy Owner is responsible for maintaining currency with FATF guidance and applicable local regulations.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POL-001  |  Internal Use Only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CONFIDENTIAL — Anti-Money Laundering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2026-06-16T02:05:31.104Z</dcterms:created>
  <dcterms:modified xsi:type="dcterms:W3CDTF">2026-06-16T02:05:31.118Z</dcterms:modified>
</cp:coreProperties>
</file>

<file path=docProps/custom.xml><?xml version="1.0" encoding="utf-8"?>
<Properties xmlns="http://schemas.openxmlformats.org/officeDocument/2006/custom-properties" xmlns:vt="http://schemas.openxmlformats.org/officeDocument/2006/docPropsVTypes"/>
</file>