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8"/>
          <w:szCs w:val="28"/>
        </w:rPr>
        <w:t xml:space="preserve">ACME FINANCIAL SERVICES</w:t>
      </w:r>
    </w:p>
    <w:p>
      <w:pPr>
        <w:spacing w:after="60"/>
      </w:pPr>
      <w:r>
        <w:rPr>
          <w:b/>
          <w:bCs/>
          <w:color w:val="1F3864"/>
          <w:sz w:val="40"/>
          <w:szCs w:val="40"/>
        </w:rPr>
        <w:t xml:space="preserve">Credit Risk Management Policy</w:t>
      </w:r>
    </w:p>
    <w:p>
      <w:pPr>
        <w:pBdr>
          <w:bottom w:val="single" w:color="2E75B6" w:sz="6" w:space="1"/>
        </w:pBd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sz w:val="20"/>
                <w:szCs w:val="20"/>
              </w:rPr>
              <w:t xml:space="preserve">Document ID</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sz w:val="20"/>
                <w:szCs w:val="20"/>
              </w:rPr>
              <w:t xml:space="preserve">Version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sz w:val="20"/>
                <w:szCs w:val="20"/>
              </w:rPr>
              <w:t xml:space="preserve">Effective Date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sz w:val="20"/>
                <w:szCs w:val="20"/>
              </w:rPr>
              <w:t xml:space="preserve">Policy Owner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POL-002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v2.1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March 20, 2024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Chief Risk Officer</w:t>
            </w:r>
          </w:p>
        </w:tc>
      </w:tr>
    </w:tbl>
    <w:p>
      <w:pPr>
        <w:spacing w:after="240"/>
      </w:pPr>
    </w:p>
    <w:p>
      <w:pPr>
        <w:pStyle w:val="Heading1"/>
        <w:spacing w:after="160" w:before="320"/>
      </w:pPr>
      <w:r>
        <w:rPr>
          <w:b/>
          <w:bCs/>
          <w:color w:val="1F3864"/>
          <w:sz w:val="28"/>
          <w:szCs w:val="28"/>
        </w:rPr>
        <w:t xml:space="preserve">1. Purpose &amp; Scope</w:t>
      </w:r>
    </w:p>
    <w:p>
      <w:pPr>
        <w:spacing w:after="160"/>
      </w:pPr>
      <w:r>
        <w:rPr>
          <w:sz w:val="22"/>
          <w:szCs w:val="22"/>
        </w:rPr>
        <w:t xml:space="preserve">This policy governs the identification, measurement, monitoring, and control of credit risk across all lending activities of Acme Financial Services. It ensures compliance with Basel III capital adequacy requirements and applicable regulatory guidelines.</w:t>
      </w:r>
    </w:p>
    <w:p>
      <w:pPr>
        <w:spacing w:after="200"/>
      </w:pPr>
    </w:p>
    <w:p>
      <w:pPr>
        <w:pStyle w:val="Heading1"/>
        <w:spacing w:after="160" w:before="320"/>
      </w:pPr>
      <w:r>
        <w:rPr>
          <w:b/>
          <w:bCs/>
          <w:color w:val="1F3864"/>
          <w:sz w:val="28"/>
          <w:szCs w:val="28"/>
        </w:rPr>
        <w:t xml:space="preserve">2. Credit Exposure Limits</w:t>
      </w:r>
    </w:p>
    <w:p>
      <w:pPr>
        <w:pStyle w:val="Heading2"/>
        <w:spacing w:after="120" w:before="240"/>
      </w:pPr>
      <w:r>
        <w:rPr>
          <w:b/>
          <w:bCs/>
          <w:color w:val="2E75B6"/>
          <w:sz w:val="24"/>
          <w:szCs w:val="24"/>
        </w:rPr>
        <w:t xml:space="preserve">2.1 Single Counterparty Limits</w:t>
      </w:r>
    </w:p>
    <w:p>
      <w:pPr>
        <w:pStyle w:val="ListParagraph"/>
        <w:numPr>
          <w:ilvl w:val="0"/>
          <w:numId w:val="2"/>
        </w:numPr>
        <w:spacing w:after="80"/>
      </w:pPr>
      <w:r>
        <w:rPr>
          <w:sz w:val="22"/>
          <w:szCs w:val="22"/>
        </w:rPr>
        <w:t xml:space="preserve">Credit exposure to any single counterparty must not exceed 25% of the capital base</w:t>
      </w:r>
    </w:p>
    <w:p>
      <w:pPr>
        <w:pStyle w:val="ListParagraph"/>
        <w:numPr>
          <w:ilvl w:val="0"/>
          <w:numId w:val="2"/>
        </w:numPr>
        <w:spacing w:after="80"/>
      </w:pPr>
      <w:r>
        <w:rPr>
          <w:sz w:val="22"/>
          <w:szCs w:val="22"/>
        </w:rPr>
        <w:t xml:space="preserve">Large exposure limit of 10% applies to Tier 1 capital for systemically important counterparties</w:t>
      </w:r>
    </w:p>
    <w:p>
      <w:pPr>
        <w:pStyle w:val="ListParagraph"/>
        <w:numPr>
          <w:ilvl w:val="0"/>
          <w:numId w:val="2"/>
        </w:numPr>
        <w:spacing w:after="80"/>
      </w:pPr>
      <w:r>
        <w:rPr>
          <w:sz w:val="22"/>
          <w:szCs w:val="22"/>
        </w:rPr>
        <w:t xml:space="preserve">Country concentration limits apply for cross-border exposures</w:t>
      </w:r>
    </w:p>
    <w:p>
      <w:pPr>
        <w:spacing w:after="200"/>
      </w:pPr>
    </w:p>
    <w:p>
      <w:pPr>
        <w:pStyle w:val="Heading2"/>
        <w:spacing w:after="120" w:before="240"/>
      </w:pPr>
      <w:r>
        <w:rPr>
          <w:b/>
          <w:bCs/>
          <w:color w:val="2E75B6"/>
          <w:sz w:val="24"/>
          <w:szCs w:val="24"/>
        </w:rPr>
        <w:t xml:space="preserve">2.2 Approval Authorities</w:t>
      </w:r>
    </w:p>
    <w:p>
      <w:pPr>
        <w:pStyle w:val="ListParagraph"/>
        <w:numPr>
          <w:ilvl w:val="0"/>
          <w:numId w:val="2"/>
        </w:numPr>
        <w:spacing w:after="80"/>
      </w:pPr>
      <w:r>
        <w:rPr>
          <w:sz w:val="22"/>
          <w:szCs w:val="22"/>
        </w:rPr>
        <w:t xml:space="preserve">Credit decisions up to $100,000: Branch Manager approval</w:t>
      </w:r>
    </w:p>
    <w:p>
      <w:pPr>
        <w:pStyle w:val="ListParagraph"/>
        <w:numPr>
          <w:ilvl w:val="0"/>
          <w:numId w:val="2"/>
        </w:numPr>
        <w:spacing w:after="80"/>
      </w:pPr>
      <w:r>
        <w:rPr>
          <w:sz w:val="22"/>
          <w:szCs w:val="22"/>
        </w:rPr>
        <w:t xml:space="preserve">Credit decisions $100,001 to $500,000: Regional Credit Officer approval</w:t>
      </w:r>
    </w:p>
    <w:p>
      <w:pPr>
        <w:pStyle w:val="ListParagraph"/>
        <w:numPr>
          <w:ilvl w:val="0"/>
          <w:numId w:val="2"/>
        </w:numPr>
        <w:spacing w:after="80"/>
      </w:pPr>
      <w:r>
        <w:rPr>
          <w:sz w:val="22"/>
          <w:szCs w:val="22"/>
        </w:rPr>
        <w:t xml:space="preserve">Credit decisions above $500,000: Senior Risk Committee approval required</w:t>
      </w:r>
    </w:p>
    <w:p>
      <w:pPr>
        <w:pStyle w:val="ListParagraph"/>
        <w:numPr>
          <w:ilvl w:val="0"/>
          <w:numId w:val="2"/>
        </w:numPr>
        <w:spacing w:after="80"/>
      </w:pPr>
      <w:r>
        <w:rPr>
          <w:sz w:val="22"/>
          <w:szCs w:val="22"/>
        </w:rPr>
        <w:t xml:space="preserve">All syndicated loans above $5,000,000: Board Risk Committee approval</w:t>
      </w:r>
    </w:p>
    <w:p>
      <w:pPr>
        <w:spacing w:after="200"/>
      </w:pPr>
    </w:p>
    <w:p>
      <w:pPr>
        <w:pStyle w:val="Heading2"/>
        <w:spacing w:after="120" w:before="240"/>
      </w:pPr>
      <w:r>
        <w:rPr>
          <w:b/>
          <w:bCs/>
          <w:color w:val="2E75B6"/>
          <w:sz w:val="24"/>
          <w:szCs w:val="24"/>
        </w:rPr>
        <w:t xml:space="preserve">2.3 Stress Testing Requirements</w:t>
      </w:r>
    </w:p>
    <w:p>
      <w:pPr>
        <w:pStyle w:val="ListParagraph"/>
        <w:numPr>
          <w:ilvl w:val="0"/>
          <w:numId w:val="2"/>
        </w:numPr>
        <w:spacing w:after="80"/>
      </w:pPr>
      <w:r>
        <w:rPr>
          <w:sz w:val="22"/>
          <w:szCs w:val="22"/>
        </w:rPr>
        <w:t xml:space="preserve">Monthly stress testing of credit portfolio required</w:t>
      </w:r>
    </w:p>
    <w:p>
      <w:pPr>
        <w:pStyle w:val="ListParagraph"/>
        <w:numPr>
          <w:ilvl w:val="0"/>
          <w:numId w:val="2"/>
        </w:numPr>
        <w:spacing w:after="80"/>
      </w:pPr>
      <w:r>
        <w:rPr>
          <w:sz w:val="22"/>
          <w:szCs w:val="22"/>
        </w:rPr>
        <w:t xml:space="preserve">Quarterly reverse stress testing to identify portfolio vulnerabilities</w:t>
      </w:r>
    </w:p>
    <w:p>
      <w:pPr>
        <w:pStyle w:val="ListParagraph"/>
        <w:numPr>
          <w:ilvl w:val="0"/>
          <w:numId w:val="2"/>
        </w:numPr>
        <w:spacing w:after="80"/>
      </w:pPr>
      <w:r>
        <w:rPr>
          <w:sz w:val="22"/>
          <w:szCs w:val="22"/>
        </w:rPr>
        <w:t xml:space="preserve">Annual comprehensive credit risk assessment submitted to Board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2"/>
              <w:left w:val="single" w:color="C00000" w:sz="2"/>
              <w:bottom w:val="single" w:color="C00000" w:sz="2"/>
              <w:right w:val="single" w:color="C00000" w:sz="2"/>
            </w:tcBorders>
            <w:shd w:fill="FFF2CC" w:val="clear"/>
            <w:tcMar>
              <w:top w:type="dxa" w:w="120"/>
              <w:left w:type="dxa" w:w="180"/>
              <w:bottom w:type="dxa" w:w="120"/>
              <w:right w:type="dxa" w:w="180"/>
            </w:tcMar>
          </w:tcPr>
          <w:p>
            <w:r>
              <w:rPr>
                <w:b/>
                <w:bCs/>
                <w:color w:val="C00000"/>
                <w:sz w:val="22"/>
                <w:szCs w:val="22"/>
              </w:rPr>
              <w:t xml:space="preserve">⚠️  IMPORTANT: </w:t>
            </w:r>
            <w:r>
              <w:rPr>
                <w:color w:val="333333"/>
                <w:sz w:val="22"/>
                <w:szCs w:val="22"/>
              </w:rPr>
              <w:t xml:space="preserve">Any credit decision that exceeds delegated authority limits without proper escalation constitutes a policy breach and must be reported to the CRO and Audit Committee immediately.</w:t>
            </w:r>
          </w:p>
        </w:tc>
      </w:tr>
    </w:tbl>
    <w:p>
      <w:pPr>
        <w:spacing w:after="200"/>
      </w:pPr>
    </w:p>
    <w:p>
      <w:pPr>
        <w:pStyle w:val="Heading1"/>
        <w:spacing w:after="160" w:before="320"/>
      </w:pPr>
      <w:r>
        <w:rPr>
          <w:b/>
          <w:bCs/>
          <w:color w:val="1F3864"/>
          <w:sz w:val="28"/>
          <w:szCs w:val="28"/>
        </w:rPr>
        <w:t xml:space="preserve">3. Monitoring &amp; Reporting</w:t>
      </w:r>
    </w:p>
    <w:p>
      <w:pPr>
        <w:spacing w:after="160"/>
      </w:pPr>
      <w:r>
        <w:rPr>
          <w:sz w:val="22"/>
          <w:szCs w:val="22"/>
        </w:rPr>
        <w:t xml:space="preserve">Credit risk metrics are reported monthly to the Risk Committee and quarterly to the Board. Key metrics include: Non-Performing Loan (NPL) ratio, Loan Loss Provisions, and Credit VaR.</w:t>
      </w:r>
    </w:p>
    <w:p>
      <w:pPr>
        <w:spacing w:after="200"/>
      </w:pPr>
    </w:p>
    <w:p>
      <w:pPr>
        <w:pStyle w:val="Heading1"/>
        <w:spacing w:after="160" w:before="320"/>
      </w:pPr>
      <w:r>
        <w:rPr>
          <w:b/>
          <w:bCs/>
          <w:color w:val="1F3864"/>
          <w:sz w:val="28"/>
          <w:szCs w:val="28"/>
        </w:rPr>
        <w:t xml:space="preserve">4. Policy Review</w:t>
      </w:r>
    </w:p>
    <w:p>
      <w:pPr>
        <w:spacing w:after="160"/>
      </w:pPr>
      <w:r>
        <w:rPr>
          <w:sz w:val="22"/>
          <w:szCs w:val="22"/>
        </w:rPr>
        <w:t xml:space="preserve">Reviewed annually. Next review: March 2025. Owner: Chief Risk Officer.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POL-002  |  Internal Use Only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CONFIDENTIAL — Credit Risk Management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2026-06-16T02:05:31.376Z</dcterms:created>
  <dcterms:modified xsi:type="dcterms:W3CDTF">2026-06-16T02:05:31.376Z</dcterms:modified>
</cp:coreProperties>
</file>

<file path=docProps/custom.xml><?xml version="1.0" encoding="utf-8"?>
<Properties xmlns="http://schemas.openxmlformats.org/officeDocument/2006/custom-properties" xmlns:vt="http://schemas.openxmlformats.org/officeDocument/2006/docPropsVTypes"/>
</file>