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8"/>
          <w:szCs w:val="28"/>
        </w:rPr>
        <w:t xml:space="preserve">ACME FINANCIAL SERVICES</w:t>
      </w:r>
    </w:p>
    <w:p>
      <w:pPr>
        <w:spacing w:after="60"/>
      </w:pPr>
      <w:r>
        <w:rPr>
          <w:b/>
          <w:bCs/>
          <w:color w:val="1F3864"/>
          <w:sz w:val="40"/>
          <w:szCs w:val="40"/>
        </w:rPr>
        <w:t xml:space="preserve">Mortgage Lending Policy</w:t>
      </w:r>
    </w:p>
    <w:p>
      <w:pPr>
        <w:pBdr>
          <w:bottom w:val="single" w:color="2E75B6"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Document ID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Version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Effective Date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Policy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POL-003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November 10, 2023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Head of Retail Banking</w:t>
            </w:r>
          </w:p>
        </w:tc>
      </w:tr>
    </w:tbl>
    <w:p>
      <w:pPr>
        <w:spacing w:after="240"/>
      </w:pPr>
    </w:p>
    <w:p>
      <w:pPr>
        <w:pStyle w:val="Heading1"/>
        <w:spacing w:after="160" w:before="320"/>
      </w:pPr>
      <w:r>
        <w:rPr>
          <w:b/>
          <w:bCs/>
          <w:color w:val="1F3864"/>
          <w:sz w:val="28"/>
          <w:szCs w:val="28"/>
        </w:rPr>
        <w:t xml:space="preserve">1. Purpose &amp; Scope</w:t>
      </w:r>
    </w:p>
    <w:p>
      <w:pPr>
        <w:spacing w:after="160"/>
      </w:pPr>
      <w:r>
        <w:rPr>
          <w:sz w:val="22"/>
          <w:szCs w:val="22"/>
        </w:rPr>
        <w:t xml:space="preserve">This policy establishes the standards for mortgage lending at Acme Financial Services, ensuring responsible lending practices in compliance with FCA Mortgage Conduct of Business (MCOB) rules and applicable consumer protection regulations.</w:t>
      </w:r>
    </w:p>
    <w:p>
      <w:pPr>
        <w:spacing w:after="200"/>
      </w:pPr>
    </w:p>
    <w:p>
      <w:pPr>
        <w:pStyle w:val="Heading1"/>
        <w:spacing w:after="160" w:before="320"/>
      </w:pPr>
      <w:r>
        <w:rPr>
          <w:b/>
          <w:bCs/>
          <w:color w:val="1F3864"/>
          <w:sz w:val="28"/>
          <w:szCs w:val="28"/>
        </w:rPr>
        <w:t xml:space="preserve">2. Lending Criteria</w:t>
      </w:r>
    </w:p>
    <w:p>
      <w:pPr>
        <w:pStyle w:val="Heading2"/>
        <w:spacing w:after="120" w:before="240"/>
      </w:pPr>
      <w:r>
        <w:rPr>
          <w:b/>
          <w:bCs/>
          <w:color w:val="2E75B6"/>
          <w:sz w:val="24"/>
          <w:szCs w:val="24"/>
        </w:rPr>
        <w:t xml:space="preserve">2.1 Loan-to-Value Requirements</w:t>
      </w:r>
    </w:p>
    <w:p>
      <w:pPr>
        <w:pStyle w:val="ListParagraph"/>
        <w:numPr>
          <w:ilvl w:val="0"/>
          <w:numId w:val="2"/>
        </w:numPr>
        <w:spacing w:after="80"/>
      </w:pPr>
      <w:r>
        <w:rPr>
          <w:sz w:val="22"/>
          <w:szCs w:val="22"/>
        </w:rPr>
        <w:t xml:space="preserve">Standard residential mortgages: maximum LTV of 80%</w:t>
      </w:r>
    </w:p>
    <w:p>
      <w:pPr>
        <w:pStyle w:val="ListParagraph"/>
        <w:numPr>
          <w:ilvl w:val="0"/>
          <w:numId w:val="2"/>
        </w:numPr>
        <w:spacing w:after="80"/>
      </w:pPr>
      <w:r>
        <w:rPr>
          <w:sz w:val="22"/>
          <w:szCs w:val="22"/>
        </w:rPr>
        <w:t xml:space="preserve">First-time buyer mortgages: maximum LTV of 90% with mortgage insurance</w:t>
      </w:r>
    </w:p>
    <w:p>
      <w:pPr>
        <w:pStyle w:val="ListParagraph"/>
        <w:numPr>
          <w:ilvl w:val="0"/>
          <w:numId w:val="2"/>
        </w:numPr>
        <w:spacing w:after="80"/>
      </w:pPr>
      <w:r>
        <w:rPr>
          <w:sz w:val="22"/>
          <w:szCs w:val="22"/>
        </w:rPr>
        <w:t xml:space="preserve">Buy-to-let mortgages: maximum LTV of 75%</w:t>
      </w:r>
    </w:p>
    <w:p>
      <w:pPr>
        <w:pStyle w:val="ListParagraph"/>
        <w:numPr>
          <w:ilvl w:val="0"/>
          <w:numId w:val="2"/>
        </w:numPr>
        <w:spacing w:after="80"/>
      </w:pPr>
      <w:r>
        <w:rPr>
          <w:sz w:val="22"/>
          <w:szCs w:val="22"/>
        </w:rPr>
        <w:t xml:space="preserve">High-value properties (above £1M): maximum LTV of 70%</w:t>
      </w:r>
    </w:p>
    <w:p>
      <w:pPr>
        <w:spacing w:after="200"/>
      </w:pPr>
    </w:p>
    <w:p>
      <w:pPr>
        <w:pStyle w:val="Heading2"/>
        <w:spacing w:after="120" w:before="240"/>
      </w:pPr>
      <w:r>
        <w:rPr>
          <w:b/>
          <w:bCs/>
          <w:color w:val="2E75B6"/>
          <w:sz w:val="24"/>
          <w:szCs w:val="24"/>
        </w:rPr>
        <w:t xml:space="preserve">2.2 Affordability Assessment</w:t>
      </w:r>
    </w:p>
    <w:p>
      <w:pPr>
        <w:pStyle w:val="ListParagraph"/>
        <w:numPr>
          <w:ilvl w:val="0"/>
          <w:numId w:val="2"/>
        </w:numPr>
        <w:spacing w:after="80"/>
      </w:pPr>
      <w:r>
        <w:rPr>
          <w:sz w:val="22"/>
          <w:szCs w:val="22"/>
        </w:rPr>
        <w:t xml:space="preserve">Income verification required for ALL applicants — payslips, tax returns, or employer letters</w:t>
      </w:r>
    </w:p>
    <w:p>
      <w:pPr>
        <w:pStyle w:val="ListParagraph"/>
        <w:numPr>
          <w:ilvl w:val="0"/>
          <w:numId w:val="2"/>
        </w:numPr>
        <w:spacing w:after="80"/>
      </w:pPr>
      <w:r>
        <w:rPr>
          <w:sz w:val="22"/>
          <w:szCs w:val="22"/>
        </w:rPr>
        <w:t xml:space="preserve">Maximum debt-to-income ratio of 43% for standard mortgages</w:t>
      </w:r>
    </w:p>
    <w:p>
      <w:pPr>
        <w:pStyle w:val="ListParagraph"/>
        <w:numPr>
          <w:ilvl w:val="0"/>
          <w:numId w:val="2"/>
        </w:numPr>
        <w:spacing w:after="80"/>
      </w:pPr>
      <w:r>
        <w:rPr>
          <w:sz w:val="22"/>
          <w:szCs w:val="22"/>
        </w:rPr>
        <w:t xml:space="preserve">Stress testing at interest rates 3% above current rate</w:t>
      </w:r>
    </w:p>
    <w:p>
      <w:pPr>
        <w:pStyle w:val="ListParagraph"/>
        <w:numPr>
          <w:ilvl w:val="0"/>
          <w:numId w:val="2"/>
        </w:numPr>
        <w:spacing w:after="80"/>
      </w:pPr>
      <w:r>
        <w:rPr>
          <w:sz w:val="22"/>
          <w:szCs w:val="22"/>
        </w:rPr>
        <w:t xml:space="preserve">Self-employed applicants require 2 years of audited accounts</w:t>
      </w:r>
    </w:p>
    <w:p>
      <w:pPr>
        <w:spacing w:after="200"/>
      </w:pPr>
    </w:p>
    <w:p>
      <w:pPr>
        <w:pStyle w:val="Heading2"/>
        <w:spacing w:after="120" w:before="240"/>
      </w:pPr>
      <w:r>
        <w:rPr>
          <w:b/>
          <w:bCs/>
          <w:color w:val="2E75B6"/>
          <w:sz w:val="24"/>
          <w:szCs w:val="24"/>
        </w:rPr>
        <w:t xml:space="preserve">2.3 Eligible Borrowers</w:t>
      </w:r>
    </w:p>
    <w:p>
      <w:pPr>
        <w:pStyle w:val="ListParagraph"/>
        <w:numPr>
          <w:ilvl w:val="0"/>
          <w:numId w:val="2"/>
        </w:numPr>
        <w:spacing w:after="80"/>
      </w:pPr>
      <w:r>
        <w:rPr>
          <w:sz w:val="22"/>
          <w:szCs w:val="22"/>
        </w:rPr>
        <w:t xml:space="preserve">Minimum age: 18 years</w:t>
      </w:r>
    </w:p>
    <w:p>
      <w:pPr>
        <w:pStyle w:val="ListParagraph"/>
        <w:numPr>
          <w:ilvl w:val="0"/>
          <w:numId w:val="2"/>
        </w:numPr>
        <w:spacing w:after="80"/>
      </w:pPr>
      <w:r>
        <w:rPr>
          <w:sz w:val="22"/>
          <w:szCs w:val="22"/>
        </w:rPr>
        <w:t xml:space="preserve">Maximum age at end of mortgage term: 75 years</w:t>
      </w:r>
    </w:p>
    <w:p>
      <w:pPr>
        <w:pStyle w:val="ListParagraph"/>
        <w:numPr>
          <w:ilvl w:val="0"/>
          <w:numId w:val="2"/>
        </w:numPr>
        <w:spacing w:after="80"/>
      </w:pPr>
      <w:r>
        <w:rPr>
          <w:sz w:val="22"/>
          <w:szCs w:val="22"/>
        </w:rPr>
        <w:t xml:space="preserve">UK residency or valid visa with minimum 2 years remaining</w:t>
      </w:r>
    </w:p>
    <w:p>
      <w:pPr>
        <w:pStyle w:val="ListParagraph"/>
        <w:numPr>
          <w:ilvl w:val="0"/>
          <w:numId w:val="2"/>
        </w:numPr>
        <w:spacing w:after="80"/>
      </w:pPr>
      <w:r>
        <w:rPr>
          <w:sz w:val="22"/>
          <w:szCs w:val="22"/>
        </w:rPr>
        <w:t xml:space="preserve">Credit score minimum: 650 (Experian scale)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2"/>
              <w:bottom w:val="single" w:color="C00000" w:sz="2"/>
              <w:right w:val="single" w:color="C00000" w:sz="2"/>
            </w:tcBorders>
            <w:shd w:fill="FFF2CC" w:val="clear"/>
            <w:tcMar>
              <w:top w:type="dxa" w:w="120"/>
              <w:left w:type="dxa" w:w="180"/>
              <w:bottom w:type="dxa" w:w="120"/>
              <w:right w:type="dxa" w:w="180"/>
            </w:tcMar>
          </w:tcPr>
          <w:p>
            <w:r>
              <w:rPr>
                <w:b/>
                <w:bCs/>
                <w:color w:val="C00000"/>
                <w:sz w:val="22"/>
                <w:szCs w:val="22"/>
              </w:rPr>
              <w:t xml:space="preserve">⚠️  IMPORTANT: </w:t>
            </w:r>
            <w:r>
              <w:rPr>
                <w:color w:val="333333"/>
                <w:sz w:val="22"/>
                <w:szCs w:val="22"/>
              </w:rPr>
              <w:t xml:space="preserve">The FCA has proposed changes to mortgage lending rules (June 2026) that may require updates to LTV limits and affordability assessment criteria for older borrowers and self-employed applicants. This policy is under review.</w:t>
            </w:r>
          </w:p>
        </w:tc>
      </w:tr>
    </w:tbl>
    <w:p>
      <w:pPr>
        <w:spacing w:after="200"/>
      </w:pPr>
    </w:p>
    <w:p>
      <w:pPr>
        <w:pStyle w:val="Heading1"/>
        <w:spacing w:after="160" w:before="320"/>
      </w:pPr>
      <w:r>
        <w:rPr>
          <w:b/>
          <w:bCs/>
          <w:color w:val="1F3864"/>
          <w:sz w:val="28"/>
          <w:szCs w:val="28"/>
        </w:rPr>
        <w:t xml:space="preserve">3. Documentation Requirements</w:t>
      </w:r>
    </w:p>
    <w:p>
      <w:pPr>
        <w:pStyle w:val="ListParagraph"/>
        <w:numPr>
          <w:ilvl w:val="0"/>
          <w:numId w:val="3"/>
        </w:numPr>
        <w:spacing w:after="80"/>
      </w:pPr>
      <w:r>
        <w:rPr>
          <w:sz w:val="22"/>
          <w:szCs w:val="22"/>
        </w:rPr>
        <w:t xml:space="preserve">Government-issued photo ID</w:t>
      </w:r>
    </w:p>
    <w:p>
      <w:pPr>
        <w:pStyle w:val="ListParagraph"/>
        <w:numPr>
          <w:ilvl w:val="0"/>
          <w:numId w:val="3"/>
        </w:numPr>
        <w:spacing w:after="80"/>
      </w:pPr>
      <w:r>
        <w:rPr>
          <w:sz w:val="22"/>
          <w:szCs w:val="22"/>
        </w:rPr>
        <w:t xml:space="preserve">Proof of address (last 3 months)</w:t>
      </w:r>
    </w:p>
    <w:p>
      <w:pPr>
        <w:pStyle w:val="ListParagraph"/>
        <w:numPr>
          <w:ilvl w:val="0"/>
          <w:numId w:val="3"/>
        </w:numPr>
        <w:spacing w:after="80"/>
      </w:pPr>
      <w:r>
        <w:rPr>
          <w:sz w:val="22"/>
          <w:szCs w:val="22"/>
        </w:rPr>
        <w:t xml:space="preserve">3 months bank statements</w:t>
      </w:r>
    </w:p>
    <w:p>
      <w:pPr>
        <w:pStyle w:val="ListParagraph"/>
        <w:numPr>
          <w:ilvl w:val="0"/>
          <w:numId w:val="3"/>
        </w:numPr>
        <w:spacing w:after="80"/>
      </w:pPr>
      <w:r>
        <w:rPr>
          <w:sz w:val="22"/>
          <w:szCs w:val="22"/>
        </w:rPr>
        <w:t xml:space="preserve">Income verification documents</w:t>
      </w:r>
    </w:p>
    <w:p>
      <w:pPr>
        <w:pStyle w:val="ListParagraph"/>
        <w:numPr>
          <w:ilvl w:val="0"/>
          <w:numId w:val="3"/>
        </w:numPr>
        <w:spacing w:after="80"/>
      </w:pPr>
      <w:r>
        <w:rPr>
          <w:sz w:val="22"/>
          <w:szCs w:val="22"/>
        </w:rPr>
        <w:t xml:space="preserve">Property valuation report</w:t>
      </w:r>
    </w:p>
    <w:p>
      <w:pPr>
        <w:spacing w:after="200"/>
      </w:pPr>
    </w:p>
    <w:p>
      <w:pPr>
        <w:pStyle w:val="Heading1"/>
        <w:spacing w:after="160" w:before="320"/>
      </w:pPr>
      <w:r>
        <w:rPr>
          <w:b/>
          <w:bCs/>
          <w:color w:val="1F3864"/>
          <w:sz w:val="28"/>
          <w:szCs w:val="28"/>
        </w:rPr>
        <w:t xml:space="preserve">4. Policy Review</w:t>
      </w:r>
    </w:p>
    <w:p>
      <w:pPr>
        <w:spacing w:after="160"/>
      </w:pPr>
      <w:r>
        <w:rPr>
          <w:sz w:val="22"/>
          <w:szCs w:val="22"/>
        </w:rPr>
        <w:t xml:space="preserve">Reviewed annually or upon FCA regulatory changes. Next review: November 2024. Note: FCA MCOB consultation may require interim review in Q3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POL-003  |  Internal Use Only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CONFIDENTIAL — Mortgage Lending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2026-06-16T02:05:31.459Z</dcterms:created>
  <dcterms:modified xsi:type="dcterms:W3CDTF">2026-06-16T02:05:31.459Z</dcterms:modified>
</cp:coreProperties>
</file>

<file path=docProps/custom.xml><?xml version="1.0" encoding="utf-8"?>
<Properties xmlns="http://schemas.openxmlformats.org/officeDocument/2006/custom-properties" xmlns:vt="http://schemas.openxmlformats.org/officeDocument/2006/docPropsVTypes"/>
</file>