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8"/>
          <w:szCs w:val="28"/>
        </w:rPr>
        <w:t xml:space="preserve">ACME FINANCIAL SERVICES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Digital Asset &amp; Cryptocurrency Policy</w:t>
      </w:r>
    </w:p>
    <w:p>
      <w:pPr>
        <w:pBdr>
          <w:bottom w:val="single" w:color="2E75B6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Policy 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POL-004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v1.3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February 28, 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Chief Compliance Officer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Purpose &amp; Scope</w:t>
      </w:r>
    </w:p>
    <w:p>
      <w:pPr>
        <w:spacing w:after="160"/>
      </w:pPr>
      <w:r>
        <w:rPr>
          <w:sz w:val="22"/>
          <w:szCs w:val="22"/>
        </w:rPr>
        <w:t xml:space="preserve">This policy governs Acme Financial Services' engagement with digital assets, cryptocurrencies, and stablecoins. It ensures compliance with FATF Travel Rule requirements, FCA cryptoasset registration rules, and applicable anti-money laundering regulations for virtual asset service providers.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Key Requirements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 FATF Travel Rule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cryptocurrency transactions must comply with the FATF Travel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Originator and beneficiary information must be collected for transactions above $1,000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Virtual Asset Service Provider (VASP) due diligence required before any inter-VASP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Counterparty VASP must be registered/licensed in their jurisdiction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2.2 Custody &amp; Holdings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digital asset custody arrangements require Board of Directors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Cold storage required for digital assets exceeding $1,000,000 in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Stablecoin exposure limited to 5% of total portfolio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Algorithmic stablecoins prohibited pending regulatory clarity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2.3 Transaction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On-chain transaction monitoring required using approved blockchain analytics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High-risk wallet addresses must be screened against OFAC and FCA sanctions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Mixer/tumbler transactions are strictly prohibited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⚠️  IMPORTANT: </w:t>
            </w:r>
            <w:r>
              <w:rPr>
                <w:color w:val="333333"/>
                <w:sz w:val="22"/>
                <w:szCs w:val="22"/>
              </w:rPr>
              <w:t xml:space="preserve">BIS has published new guidance on stablecoin transactions and systemic risk (June 2026). Current stablecoin exposure limits and FATF Travel Rule implementation may require updating within 90 days.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Approved Digital Assets</w:t>
      </w:r>
    </w:p>
    <w:p>
      <w:pPr>
        <w:spacing w:after="160"/>
      </w:pPr>
      <w:r>
        <w:rPr>
          <w:sz w:val="22"/>
          <w:szCs w:val="22"/>
        </w:rPr>
        <w:t xml:space="preserve">Only the following digital assets are approved for institutional transactions: Bitcoin (BTC), Ethereum (ETH), and regulated stablecoins (USDC, USDT). All other digital assets require Chief Compliance Officer approval.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Policy Review</w:t>
      </w:r>
    </w:p>
    <w:p>
      <w:pPr>
        <w:spacing w:after="160"/>
      </w:pPr>
      <w:r>
        <w:rPr>
          <w:sz w:val="22"/>
          <w:szCs w:val="22"/>
        </w:rPr>
        <w:t xml:space="preserve">Reviewed semi-annually due to rapidly evolving regulatory landscape. Next review: August 2024. Owner: Chief Compliance Officer.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POL-004  |  Internal Use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CONFIDENTIAL — Digital Asset &amp; Cryptocurrency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2026-06-16T02:05:31.584Z</dcterms:created>
  <dcterms:modified xsi:type="dcterms:W3CDTF">2026-06-16T02:05:31.584Z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