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8"/>
          <w:szCs w:val="28"/>
        </w:rPr>
        <w:t xml:space="preserve">ACME FINANCIAL SERVICES</w:t>
      </w:r>
    </w:p>
    <w:p>
      <w:pPr>
        <w:spacing w:after="60"/>
      </w:pPr>
      <w:r>
        <w:rPr>
          <w:b/>
          <w:bCs/>
          <w:color w:val="1F3864"/>
          <w:sz w:val="40"/>
          <w:szCs w:val="40"/>
        </w:rPr>
        <w:t xml:space="preserve">Capital Adequacy Policy</w:t>
      </w:r>
    </w:p>
    <w:p>
      <w:pPr>
        <w:pBdr>
          <w:bottom w:val="single" w:color="2E75B6" w:sz="6"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Document ID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Version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Effective Date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0"/>
                <w:szCs w:val="20"/>
              </w:rPr>
              <w:t xml:space="preserve">Policy Owner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POL-005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v2.4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December 1, 2023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Chief Financial Officer</w:t>
            </w:r>
          </w:p>
        </w:tc>
      </w:tr>
    </w:tbl>
    <w:p>
      <w:pPr>
        <w:spacing w:after="240"/>
      </w:pPr>
    </w:p>
    <w:p>
      <w:pPr>
        <w:pStyle w:val="Heading1"/>
        <w:spacing w:after="160" w:before="320"/>
      </w:pPr>
      <w:r>
        <w:rPr>
          <w:b/>
          <w:bCs/>
          <w:color w:val="1F3864"/>
          <w:sz w:val="28"/>
          <w:szCs w:val="28"/>
        </w:rPr>
        <w:t xml:space="preserve">1. Purpose &amp; Scope</w:t>
      </w:r>
    </w:p>
    <w:p>
      <w:pPr>
        <w:spacing w:after="160"/>
      </w:pPr>
      <w:r>
        <w:rPr>
          <w:sz w:val="22"/>
          <w:szCs w:val="22"/>
        </w:rPr>
        <w:t xml:space="preserve">This policy establishes the capital adequacy framework for Acme Financial Services in compliance with Basel III requirements, PRA Rulebook, and CRR II regulations. It ensures the firm maintains sufficient capital to absorb losses and support ongoing operations.</w:t>
      </w:r>
    </w:p>
    <w:p>
      <w:pPr>
        <w:spacing w:after="200"/>
      </w:pPr>
    </w:p>
    <w:p>
      <w:pPr>
        <w:pStyle w:val="Heading1"/>
        <w:spacing w:after="160" w:before="320"/>
      </w:pPr>
      <w:r>
        <w:rPr>
          <w:b/>
          <w:bCs/>
          <w:color w:val="1F3864"/>
          <w:sz w:val="28"/>
          <w:szCs w:val="28"/>
        </w:rPr>
        <w:t xml:space="preserve">2. Capital Requirements</w:t>
      </w:r>
    </w:p>
    <w:p>
      <w:pPr>
        <w:pStyle w:val="Heading2"/>
        <w:spacing w:after="120" w:before="240"/>
      </w:pPr>
      <w:r>
        <w:rPr>
          <w:b/>
          <w:bCs/>
          <w:color w:val="2E75B6"/>
          <w:sz w:val="24"/>
          <w:szCs w:val="24"/>
        </w:rPr>
        <w:t xml:space="preserve">2.1 Minimum Capital Ratios</w:t>
      </w:r>
    </w:p>
    <w:p>
      <w:pPr>
        <w:pStyle w:val="ListParagraph"/>
        <w:numPr>
          <w:ilvl w:val="0"/>
          <w:numId w:val="2"/>
        </w:numPr>
        <w:spacing w:after="80"/>
      </w:pPr>
      <w:r>
        <w:rPr>
          <w:sz w:val="22"/>
          <w:szCs w:val="22"/>
        </w:rPr>
        <w:t xml:space="preserve">Common Equity Tier 1 (CET1) ratio: minimum 10.5% (including capital conservation buffer)</w:t>
      </w:r>
    </w:p>
    <w:p>
      <w:pPr>
        <w:pStyle w:val="ListParagraph"/>
        <w:numPr>
          <w:ilvl w:val="0"/>
          <w:numId w:val="2"/>
        </w:numPr>
        <w:spacing w:after="80"/>
      </w:pPr>
      <w:r>
        <w:rPr>
          <w:sz w:val="22"/>
          <w:szCs w:val="22"/>
        </w:rPr>
        <w:t xml:space="preserve">Tier 1 capital ratio: minimum 12% at all times</w:t>
      </w:r>
    </w:p>
    <w:p>
      <w:pPr>
        <w:pStyle w:val="ListParagraph"/>
        <w:numPr>
          <w:ilvl w:val="0"/>
          <w:numId w:val="2"/>
        </w:numPr>
        <w:spacing w:after="80"/>
      </w:pPr>
      <w:r>
        <w:rPr>
          <w:sz w:val="22"/>
          <w:szCs w:val="22"/>
        </w:rPr>
        <w:t xml:space="preserve">Total capital ratio: minimum 14%</w:t>
      </w:r>
    </w:p>
    <w:p>
      <w:pPr>
        <w:pStyle w:val="ListParagraph"/>
        <w:numPr>
          <w:ilvl w:val="0"/>
          <w:numId w:val="2"/>
        </w:numPr>
        <w:spacing w:after="80"/>
      </w:pPr>
      <w:r>
        <w:rPr>
          <w:sz w:val="22"/>
          <w:szCs w:val="22"/>
        </w:rPr>
        <w:t xml:space="preserve">Leverage ratio: minimum 3% (UK PRA requirement)</w:t>
      </w:r>
    </w:p>
    <w:p>
      <w:pPr>
        <w:spacing w:after="200"/>
      </w:pPr>
    </w:p>
    <w:p>
      <w:pPr>
        <w:pStyle w:val="Heading2"/>
        <w:spacing w:after="120" w:before="240"/>
      </w:pPr>
      <w:r>
        <w:rPr>
          <w:b/>
          <w:bCs/>
          <w:color w:val="2E75B6"/>
          <w:sz w:val="24"/>
          <w:szCs w:val="24"/>
        </w:rPr>
        <w:t xml:space="preserve">2.2 Additional Tier 1 (AT1) Instruments</w:t>
      </w:r>
    </w:p>
    <w:p>
      <w:pPr>
        <w:pStyle w:val="ListParagraph"/>
        <w:numPr>
          <w:ilvl w:val="0"/>
          <w:numId w:val="2"/>
        </w:numPr>
        <w:spacing w:after="80"/>
      </w:pPr>
      <w:r>
        <w:rPr>
          <w:sz w:val="22"/>
          <w:szCs w:val="22"/>
        </w:rPr>
        <w:t xml:space="preserve">AT1 instruments subject to quarterly review by the Asset-Liability Committee</w:t>
      </w:r>
    </w:p>
    <w:p>
      <w:pPr>
        <w:pStyle w:val="ListParagraph"/>
        <w:numPr>
          <w:ilvl w:val="0"/>
          <w:numId w:val="2"/>
        </w:numPr>
        <w:spacing w:after="80"/>
      </w:pPr>
      <w:r>
        <w:rPr>
          <w:sz w:val="22"/>
          <w:szCs w:val="22"/>
        </w:rPr>
        <w:t xml:space="preserve">AT1 issuance requires Board approval and PRA notification</w:t>
      </w:r>
    </w:p>
    <w:p>
      <w:pPr>
        <w:pStyle w:val="ListParagraph"/>
        <w:numPr>
          <w:ilvl w:val="0"/>
          <w:numId w:val="2"/>
        </w:numPr>
        <w:spacing w:after="80"/>
      </w:pPr>
      <w:r>
        <w:rPr>
          <w:sz w:val="22"/>
          <w:szCs w:val="22"/>
        </w:rPr>
        <w:t xml:space="preserve">AT1 instruments must include loss absorption triggers at CET1 ratio of 7%</w:t>
      </w:r>
    </w:p>
    <w:p>
      <w:pPr>
        <w:pStyle w:val="ListParagraph"/>
        <w:numPr>
          <w:ilvl w:val="0"/>
          <w:numId w:val="2"/>
        </w:numPr>
        <w:spacing w:after="80"/>
      </w:pPr>
      <w:r>
        <w:rPr>
          <w:sz w:val="22"/>
          <w:szCs w:val="22"/>
        </w:rPr>
        <w:t xml:space="preserve">Going-concern AT1 triggers reviewed annually against Basel III going-concern standards</w:t>
      </w:r>
    </w:p>
    <w:p>
      <w:pPr>
        <w:spacing w:after="200"/>
      </w:pPr>
    </w:p>
    <w:p>
      <w:pPr>
        <w:pStyle w:val="Heading2"/>
        <w:spacing w:after="120" w:before="240"/>
      </w:pPr>
      <w:r>
        <w:rPr>
          <w:b/>
          <w:bCs/>
          <w:color w:val="2E75B6"/>
          <w:sz w:val="24"/>
          <w:szCs w:val="24"/>
        </w:rPr>
        <w:t xml:space="preserve">2.3 Capital Buffer Requirements</w:t>
      </w:r>
    </w:p>
    <w:p>
      <w:pPr>
        <w:pStyle w:val="ListParagraph"/>
        <w:numPr>
          <w:ilvl w:val="0"/>
          <w:numId w:val="2"/>
        </w:numPr>
        <w:spacing w:after="80"/>
      </w:pPr>
      <w:r>
        <w:rPr>
          <w:sz w:val="22"/>
          <w:szCs w:val="22"/>
        </w:rPr>
        <w:t xml:space="preserve">Capital Conservation Buffer: 2.5% of Risk-Weighted Assets</w:t>
      </w:r>
    </w:p>
    <w:p>
      <w:pPr>
        <w:pStyle w:val="ListParagraph"/>
        <w:numPr>
          <w:ilvl w:val="0"/>
          <w:numId w:val="2"/>
        </w:numPr>
        <w:spacing w:after="80"/>
      </w:pPr>
      <w:r>
        <w:rPr>
          <w:sz w:val="22"/>
          <w:szCs w:val="22"/>
        </w:rPr>
        <w:t xml:space="preserve">Countercyclical Capital Buffer: reviewed quarterly, currently 1.0%</w:t>
      </w:r>
    </w:p>
    <w:p>
      <w:pPr>
        <w:pStyle w:val="ListParagraph"/>
        <w:numPr>
          <w:ilvl w:val="0"/>
          <w:numId w:val="2"/>
        </w:numPr>
        <w:spacing w:after="80"/>
      </w:pPr>
      <w:r>
        <w:rPr>
          <w:sz w:val="22"/>
          <w:szCs w:val="22"/>
        </w:rPr>
        <w:t xml:space="preserve">Systemic Risk Buffer: 0.5% (applied by PRA)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2"/>
              <w:bottom w:val="single" w:color="C00000" w:sz="2"/>
              <w:right w:val="single" w:color="C00000" w:sz="2"/>
            </w:tcBorders>
            <w:shd w:fill="FFF2CC" w:val="clear"/>
            <w:tcMar>
              <w:top w:type="dxa" w:w="120"/>
              <w:left w:type="dxa" w:w="180"/>
              <w:bottom w:type="dxa" w:w="120"/>
              <w:right w:type="dxa" w:w="180"/>
            </w:tcMar>
          </w:tcPr>
          <w:p>
            <w:r>
              <w:rPr>
                <w:b/>
                <w:bCs/>
                <w:color w:val="C00000"/>
                <w:sz w:val="22"/>
                <w:szCs w:val="22"/>
              </w:rPr>
              <w:t xml:space="preserve">⚠️  IMPORTANT: </w:t>
            </w:r>
            <w:r>
              <w:rPr>
                <w:color w:val="333333"/>
                <w:sz w:val="22"/>
                <w:szCs w:val="22"/>
              </w:rPr>
              <w:t xml:space="preserve">BIS has published new guidance on strengthening the going-concern role of AT1 instruments (June 2026). Current AT1 trigger levels and recapitalisation mechanisms may require review within 60 days to align with updated Basel standards.</w:t>
            </w:r>
          </w:p>
        </w:tc>
      </w:tr>
    </w:tbl>
    <w:p>
      <w:pPr>
        <w:spacing w:after="200"/>
      </w:pPr>
    </w:p>
    <w:p>
      <w:pPr>
        <w:pStyle w:val="Heading1"/>
        <w:spacing w:after="160" w:before="320"/>
      </w:pPr>
      <w:r>
        <w:rPr>
          <w:b/>
          <w:bCs/>
          <w:color w:val="1F3864"/>
          <w:sz w:val="28"/>
          <w:szCs w:val="28"/>
        </w:rPr>
        <w:t xml:space="preserve">3. ICAAP &amp; Reporting</w:t>
      </w:r>
    </w:p>
    <w:p>
      <w:pPr>
        <w:spacing w:after="160"/>
      </w:pPr>
      <w:r>
        <w:rPr>
          <w:sz w:val="22"/>
          <w:szCs w:val="22"/>
        </w:rPr>
        <w:t xml:space="preserve">The Internal Capital Adequacy Assessment Process (ICAAP) is conducted annually and submitted to the PRA. Interim capital adequacy reports are produced monthly for the Risk Committee and quarterly for the Board.</w:t>
      </w:r>
    </w:p>
    <w:p>
      <w:pPr>
        <w:spacing w:after="200"/>
      </w:pPr>
    </w:p>
    <w:p>
      <w:pPr>
        <w:pStyle w:val="Heading1"/>
        <w:spacing w:after="160" w:before="320"/>
      </w:pPr>
      <w:r>
        <w:rPr>
          <w:b/>
          <w:bCs/>
          <w:color w:val="1F3864"/>
          <w:sz w:val="28"/>
          <w:szCs w:val="28"/>
        </w:rPr>
        <w:t xml:space="preserve">4. Policy Review</w:t>
      </w:r>
    </w:p>
    <w:p>
      <w:pPr>
        <w:spacing w:after="160"/>
      </w:pPr>
      <w:r>
        <w:rPr>
          <w:sz w:val="22"/>
          <w:szCs w:val="22"/>
        </w:rPr>
        <w:t xml:space="preserve">Reviewed annually or upon material regulatory changes. Next review: December 2024. Owner: CFO in consultation with CRO.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POL-005  |  Internal Use Only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CONFIDENTIAL — Capital Adequacy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2026-06-16T02:05:31.621Z</dcterms:created>
  <dcterms:modified xsi:type="dcterms:W3CDTF">2026-06-16T02:05:31.621Z</dcterms:modified>
</cp:coreProperties>
</file>

<file path=docProps/custom.xml><?xml version="1.0" encoding="utf-8"?>
<Properties xmlns="http://schemas.openxmlformats.org/officeDocument/2006/custom-properties" xmlns:vt="http://schemas.openxmlformats.org/officeDocument/2006/docPropsVTypes"/>
</file>