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28"/>
          <w:szCs w:val="28"/>
        </w:rPr>
        <w:t xml:space="preserve">ACME FINANCIAL SERVICES</w:t>
      </w:r>
    </w:p>
    <w:p>
      <w:pPr>
        <w:spacing w:after="60"/>
      </w:pPr>
      <w:r>
        <w:rPr>
          <w:b/>
          <w:bCs/>
          <w:color w:val="1F3864"/>
          <w:sz w:val="40"/>
          <w:szCs w:val="40"/>
        </w:rPr>
        <w:t xml:space="preserve">Market Risk Policy</w:t>
      </w:r>
    </w:p>
    <w:p>
      <w:pPr>
        <w:pBdr>
          <w:bottom w:val="single" w:color="2E75B6" w:sz="6" w:space="1"/>
        </w:pBd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color w:val="1F3864"/>
                <w:sz w:val="20"/>
                <w:szCs w:val="20"/>
              </w:rPr>
              <w:t xml:space="preserve">Document ID</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color w:val="1F3864"/>
                <w:sz w:val="20"/>
                <w:szCs w:val="20"/>
              </w:rPr>
              <w:t xml:space="preserve">Version</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color w:val="1F3864"/>
                <w:sz w:val="20"/>
                <w:szCs w:val="20"/>
              </w:rPr>
              <w:t xml:space="preserve">Effective Date</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color w:val="1F3864"/>
                <w:sz w:val="20"/>
                <w:szCs w:val="20"/>
              </w:rPr>
              <w:t xml:space="preserve">Policy Owner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POL-006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v1.9</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January 30, 2024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Chief Risk Officer</w:t>
            </w:r>
          </w:p>
        </w:tc>
      </w:tr>
    </w:tbl>
    <w:p>
      <w:pPr>
        <w:spacing w:after="240"/>
      </w:pPr>
    </w:p>
    <w:p>
      <w:pPr>
        <w:pStyle w:val="Heading1"/>
        <w:spacing w:after="160" w:before="320"/>
      </w:pPr>
      <w:r>
        <w:rPr>
          <w:b/>
          <w:bCs/>
          <w:color w:val="1F3864"/>
          <w:sz w:val="28"/>
          <w:szCs w:val="28"/>
        </w:rPr>
        <w:t xml:space="preserve">1. Purpose &amp; Scope</w:t>
      </w:r>
    </w:p>
    <w:p>
      <w:pPr>
        <w:spacing w:after="160"/>
      </w:pPr>
      <w:r>
        <w:rPr>
          <w:sz w:val="22"/>
          <w:szCs w:val="22"/>
        </w:rPr>
        <w:t xml:space="preserve">This policy governs the identification, measurement, and management of market risk including interest rate risk, equity risk, foreign exchange risk, and commodity risk. It applies to all trading and banking book positions.</w:t>
      </w:r>
    </w:p>
    <w:p>
      <w:pPr>
        <w:spacing w:after="200"/>
      </w:pPr>
    </w:p>
    <w:p>
      <w:pPr>
        <w:pStyle w:val="Heading1"/>
        <w:spacing w:after="160" w:before="320"/>
      </w:pPr>
      <w:r>
        <w:rPr>
          <w:b/>
          <w:bCs/>
          <w:color w:val="1F3864"/>
          <w:sz w:val="28"/>
          <w:szCs w:val="28"/>
        </w:rPr>
        <w:t xml:space="preserve">2. Risk Limits &amp; Measurement</w:t>
      </w:r>
    </w:p>
    <w:p>
      <w:pPr>
        <w:pStyle w:val="Heading2"/>
        <w:spacing w:after="120" w:before="240"/>
      </w:pPr>
      <w:r>
        <w:rPr>
          <w:b/>
          <w:bCs/>
          <w:color w:val="2E75B6"/>
          <w:sz w:val="24"/>
          <w:szCs w:val="24"/>
        </w:rPr>
        <w:t xml:space="preserve">2.1 Value at Risk (VaR) Limits</w:t>
      </w:r>
    </w:p>
    <w:p>
      <w:pPr>
        <w:pStyle w:val="ListParagraph"/>
        <w:numPr>
          <w:ilvl w:val="0"/>
          <w:numId w:val="2"/>
        </w:numPr>
        <w:spacing w:after="80"/>
      </w:pPr>
      <w:r>
        <w:rPr>
          <w:sz w:val="22"/>
          <w:szCs w:val="22"/>
        </w:rPr>
        <w:t xml:space="preserve">VaR calculated at 95% confidence interval, 10-day holding period</w:t>
      </w:r>
    </w:p>
    <w:p>
      <w:pPr>
        <w:pStyle w:val="ListParagraph"/>
        <w:numPr>
          <w:ilvl w:val="0"/>
          <w:numId w:val="2"/>
        </w:numPr>
        <w:spacing w:after="80"/>
      </w:pPr>
      <w:r>
        <w:rPr>
          <w:sz w:val="22"/>
          <w:szCs w:val="22"/>
        </w:rPr>
        <w:t xml:space="preserve">Trading book VaR limit: $5,000,000 per day</w:t>
      </w:r>
    </w:p>
    <w:p>
      <w:pPr>
        <w:pStyle w:val="ListParagraph"/>
        <w:numPr>
          <w:ilvl w:val="0"/>
          <w:numId w:val="2"/>
        </w:numPr>
        <w:spacing w:after="80"/>
      </w:pPr>
      <w:r>
        <w:rPr>
          <w:sz w:val="22"/>
          <w:szCs w:val="22"/>
        </w:rPr>
        <w:t xml:space="preserve">Stressed VaR (SVaR) calculated monthly using 2008 financial crisis as stress period</w:t>
      </w:r>
    </w:p>
    <w:p>
      <w:pPr>
        <w:pStyle w:val="ListParagraph"/>
        <w:numPr>
          <w:ilvl w:val="0"/>
          <w:numId w:val="2"/>
        </w:numPr>
        <w:spacing w:after="80"/>
      </w:pPr>
      <w:r>
        <w:rPr>
          <w:sz w:val="22"/>
          <w:szCs w:val="22"/>
        </w:rPr>
        <w:t xml:space="preserve">VaR breaches must be reported to the CRO within 2 hours</w:t>
      </w:r>
    </w:p>
    <w:p>
      <w:pPr>
        <w:spacing w:after="200"/>
      </w:pPr>
    </w:p>
    <w:p>
      <w:pPr>
        <w:pStyle w:val="Heading2"/>
        <w:spacing w:after="120" w:before="240"/>
      </w:pPr>
      <w:r>
        <w:rPr>
          <w:b/>
          <w:bCs/>
          <w:color w:val="2E75B6"/>
          <w:sz w:val="24"/>
          <w:szCs w:val="24"/>
        </w:rPr>
        <w:t xml:space="preserve">2.2 Money Market Fund Exposure</w:t>
      </w:r>
    </w:p>
    <w:p>
      <w:pPr>
        <w:pStyle w:val="ListParagraph"/>
        <w:numPr>
          <w:ilvl w:val="0"/>
          <w:numId w:val="2"/>
        </w:numPr>
        <w:spacing w:after="80"/>
      </w:pPr>
      <w:r>
        <w:rPr>
          <w:sz w:val="22"/>
          <w:szCs w:val="22"/>
        </w:rPr>
        <w:t xml:space="preserve">Total money market fund exposure capped at 15% of total assets</w:t>
      </w:r>
    </w:p>
    <w:p>
      <w:pPr>
        <w:pStyle w:val="ListParagraph"/>
        <w:numPr>
          <w:ilvl w:val="0"/>
          <w:numId w:val="2"/>
        </w:numPr>
        <w:spacing w:after="80"/>
      </w:pPr>
      <w:r>
        <w:rPr>
          <w:sz w:val="22"/>
          <w:szCs w:val="22"/>
        </w:rPr>
        <w:t xml:space="preserve">Single money market fund exposure limited to 5% of total assets</w:t>
      </w:r>
    </w:p>
    <w:p>
      <w:pPr>
        <w:pStyle w:val="ListParagraph"/>
        <w:numPr>
          <w:ilvl w:val="0"/>
          <w:numId w:val="2"/>
        </w:numPr>
        <w:spacing w:after="80"/>
      </w:pPr>
      <w:r>
        <w:rPr>
          <w:sz w:val="22"/>
          <w:szCs w:val="22"/>
        </w:rPr>
        <w:t xml:space="preserve">Daily mark-to-market reporting required for all MMF holdings</w:t>
      </w:r>
    </w:p>
    <w:p>
      <w:pPr>
        <w:pStyle w:val="ListParagraph"/>
        <w:numPr>
          <w:ilvl w:val="0"/>
          <w:numId w:val="2"/>
        </w:numPr>
        <w:spacing w:after="80"/>
      </w:pPr>
      <w:r>
        <w:rPr>
          <w:sz w:val="22"/>
          <w:szCs w:val="22"/>
        </w:rPr>
        <w:t xml:space="preserve">Weekly liquidity stress testing of MMF portfolio</w:t>
      </w:r>
    </w:p>
    <w:p>
      <w:pPr>
        <w:spacing w:after="200"/>
      </w:pPr>
    </w:p>
    <w:p>
      <w:pPr>
        <w:pStyle w:val="Heading2"/>
        <w:spacing w:after="120" w:before="240"/>
      </w:pPr>
      <w:r>
        <w:rPr>
          <w:b/>
          <w:bCs/>
          <w:color w:val="2E75B6"/>
          <w:sz w:val="24"/>
          <w:szCs w:val="24"/>
        </w:rPr>
        <w:t xml:space="preserve">2.3 Interest Rate Risk</w:t>
      </w:r>
    </w:p>
    <w:p>
      <w:pPr>
        <w:pStyle w:val="ListParagraph"/>
        <w:numPr>
          <w:ilvl w:val="0"/>
          <w:numId w:val="2"/>
        </w:numPr>
        <w:spacing w:after="80"/>
      </w:pPr>
      <w:r>
        <w:rPr>
          <w:sz w:val="22"/>
          <w:szCs w:val="22"/>
        </w:rPr>
        <w:t xml:space="preserve">Interest rate sensitivity (DV01) limits set by tenor bucket</w:t>
      </w:r>
    </w:p>
    <w:p>
      <w:pPr>
        <w:pStyle w:val="ListParagraph"/>
        <w:numPr>
          <w:ilvl w:val="0"/>
          <w:numId w:val="2"/>
        </w:numPr>
        <w:spacing w:after="80"/>
      </w:pPr>
      <w:r>
        <w:rPr>
          <w:sz w:val="22"/>
          <w:szCs w:val="22"/>
        </w:rPr>
        <w:t xml:space="preserve">Basis risk monitoring required for all floating rate instruments</w:t>
      </w:r>
    </w:p>
    <w:p>
      <w:pPr>
        <w:pStyle w:val="ListParagraph"/>
        <w:numPr>
          <w:ilvl w:val="0"/>
          <w:numId w:val="2"/>
        </w:numPr>
        <w:spacing w:after="80"/>
      </w:pPr>
      <w:r>
        <w:rPr>
          <w:sz w:val="22"/>
          <w:szCs w:val="22"/>
        </w:rPr>
        <w:t xml:space="preserve">IRRBB (Interest Rate Risk in the Banking Book) assessed quarterly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2"/>
              <w:left w:val="single" w:color="C00000" w:sz="2"/>
              <w:bottom w:val="single" w:color="C00000" w:sz="2"/>
              <w:right w:val="single" w:color="C00000" w:sz="2"/>
            </w:tcBorders>
            <w:shd w:fill="FFF2CC" w:val="clear"/>
            <w:tcMar>
              <w:top w:type="dxa" w:w="120"/>
              <w:left w:type="dxa" w:w="180"/>
              <w:bottom w:type="dxa" w:w="120"/>
              <w:right w:type="dxa" w:w="180"/>
            </w:tcMar>
          </w:tcPr>
          <w:p>
            <w:r>
              <w:rPr>
                <w:b/>
                <w:bCs/>
                <w:color w:val="C00000"/>
                <w:sz w:val="22"/>
                <w:szCs w:val="22"/>
              </w:rPr>
              <w:t xml:space="preserve">⚠️  IMPORTANT: </w:t>
            </w:r>
            <w:r>
              <w:rPr>
                <w:color w:val="333333"/>
                <w:sz w:val="22"/>
                <w:szCs w:val="22"/>
              </w:rPr>
              <w:t xml:space="preserve">BIS has published research on asset price bubbles and systemic risk in money market funds (June 2026). Current MMF exposure limits and stress testing frameworks may need strengthening. Risk team to assess within 90 days.</w:t>
            </w:r>
          </w:p>
        </w:tc>
      </w:tr>
    </w:tbl>
    <w:p>
      <w:pPr>
        <w:spacing w:after="200"/>
      </w:pPr>
    </w:p>
    <w:p>
      <w:pPr>
        <w:pStyle w:val="Heading1"/>
        <w:spacing w:after="160" w:before="320"/>
      </w:pPr>
      <w:r>
        <w:rPr>
          <w:b/>
          <w:bCs/>
          <w:color w:val="1F3864"/>
          <w:sz w:val="28"/>
          <w:szCs w:val="28"/>
        </w:rPr>
        <w:t xml:space="preserve">3. Monitoring &amp; Escalation</w:t>
      </w:r>
    </w:p>
    <w:p>
      <w:pPr>
        <w:spacing w:after="160"/>
      </w:pPr>
      <w:r>
        <w:rPr>
          <w:sz w:val="22"/>
          <w:szCs w:val="22"/>
        </w:rPr>
        <w:t xml:space="preserve">Market risk limits are monitored in real-time by the Risk Management system. Limit breaches trigger automatic alerts to the trading desk and Risk team. Persistent breaches (&gt;2 days) require CRO escalation and Board notification.</w:t>
      </w:r>
    </w:p>
    <w:p>
      <w:pPr>
        <w:spacing w:after="200"/>
      </w:pPr>
    </w:p>
    <w:p>
      <w:pPr>
        <w:pStyle w:val="Heading1"/>
        <w:spacing w:after="160" w:before="320"/>
      </w:pPr>
      <w:r>
        <w:rPr>
          <w:b/>
          <w:bCs/>
          <w:color w:val="1F3864"/>
          <w:sz w:val="28"/>
          <w:szCs w:val="28"/>
        </w:rPr>
        <w:t xml:space="preserve">4. Policy Review</w:t>
      </w:r>
    </w:p>
    <w:p>
      <w:pPr>
        <w:spacing w:after="160"/>
      </w:pPr>
      <w:r>
        <w:rPr>
          <w:sz w:val="22"/>
          <w:szCs w:val="22"/>
        </w:rPr>
        <w:t xml:space="preserve">Reviewed annually. Next review: January 2025. Owner: Chief Risk Officer.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POL-006  |  Internal Use Only  |  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CONFIDENTIAL — Market Risk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2026-06-16T02:05:31.659Z</dcterms:created>
  <dcterms:modified xsi:type="dcterms:W3CDTF">2026-06-16T02:05:31.659Z</dcterms:modified>
</cp:coreProperties>
</file>

<file path=docProps/custom.xml><?xml version="1.0" encoding="utf-8"?>
<Properties xmlns="http://schemas.openxmlformats.org/officeDocument/2006/custom-properties" xmlns:vt="http://schemas.openxmlformats.org/officeDocument/2006/docPropsVTypes"/>
</file>