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jc w:val="center"/>
      </w:pPr>
      <w:r>
        <w:rPr>
          <w:rFonts w:ascii="Calibri" w:hAnsi="Calibri" w:eastAsia="Yu Gothic"/>
          <w:b/>
          <w:color w:val="2A8C82"/>
          <w:sz w:val="20"/>
        </w:rPr>
        <w:t>TECHNICAL REPORT</w:t>
      </w:r>
    </w:p>
    <w:p>
      <w:pPr>
        <w:pStyle w:val="Title"/>
        <w:spacing w:before="1440" w:after="440"/>
        <w:jc w:val="center"/>
      </w:pPr>
      <w:r>
        <w:rPr>
          <w:rFonts w:ascii="Calibri" w:hAnsi="Calibri" w:eastAsia="Yu Gothic"/>
          <w:b/>
          <w:color w:val="17324D"/>
          <w:sz w:val="56"/>
        </w:rPr>
        <w:t>既存ツールPANDAの課題を踏まえた</w:t>
        <w:br/>
        <w:t>「Watashi」の設計・実装・検証</w:t>
      </w:r>
    </w:p>
    <w:p>
      <w:pPr>
        <w:pStyle w:val="Subtitle"/>
        <w:jc w:val="center"/>
      </w:pPr>
      <w:r>
        <w:rPr>
          <w:rFonts w:ascii="Calibri" w:hAnsi="Calibri" w:eastAsia="Yu Gothic"/>
          <w:color w:val="2A8C82"/>
          <w:sz w:val="30"/>
        </w:rPr>
        <w:t>安全性・認可・監査性・運用性向上のアプローチ</w:t>
      </w:r>
    </w:p>
    <w:tbl>
      <w:tblPr>
        <w:tblW w:type="dxa" w:w="6900"/>
        <w:jc w:val="center"/>
        <w:tblLook w:firstColumn="1" w:firstRow="1" w:lastColumn="0" w:lastRow="0" w:noHBand="0" w:noVBand="1" w:val="04A0"/>
        <w:tblLayout w:type="fixed"/>
        <w:tblInd w:w="120" w:type="dxa"/>
      </w:tblPr>
      <w:tblGrid>
        <w:gridCol w:w="6900"/>
      </w:tblGrid>
      <w:tr>
        <w:trPr>
          <w:tblHeader w:val="true"/>
        </w:trPr>
        <w:tc>
          <w:tcPr>
            <w:tcW w:type="dxa" w:w="6900"/>
            <w:tcMar>
              <w:top w:w="80" w:type="dxa"/>
              <w:start w:w="120" w:type="dxa"/>
              <w:bottom w:w="80" w:type="dxa"/>
              <w:end w:w="120" w:type="dxa"/>
            </w:tcMar>
            <w:vAlign w:val="center"/>
            <w:shd w:fill="EAF2F8"/>
          </w:tcPr>
          <w:p>
            <w:pPr>
              <w:spacing w:before="240" w:after="240"/>
              <w:jc w:val="center"/>
            </w:pPr>
            <w:r>
              <w:rPr>
                <w:rFonts w:ascii="Calibri" w:hAnsi="Calibri" w:eastAsia="Yu Mincho"/>
                <w:b/>
                <w:color w:val="1F4D78"/>
                <w:sz w:val="22"/>
              </w:rPr>
              <w:t>PANDA：既存ツール　／　Watashi：後継ツール</w:t>
            </w:r>
          </w:p>
        </w:tc>
      </w:tr>
    </w:tbl>
    <w:p>
      <w:pPr>
        <w:spacing w:before="1760"/>
        <w:jc w:val="center"/>
      </w:pPr>
      <w:r>
        <w:rPr>
          <w:rFonts w:ascii="Calibri" w:hAnsi="Calibri" w:eastAsia="Yu Mincho"/>
          <w:sz w:val="22"/>
        </w:rPr>
        <w:t>評価基準日　2026年8月31日</w:t>
      </w:r>
    </w:p>
    <w:p>
      <w:pPr>
        <w:jc w:val="center"/>
      </w:pPr>
      <w:r>
        <w:rPr>
          <w:rFonts w:ascii="Calibri" w:hAnsi="Calibri" w:eastAsia="Yu Mincho"/>
          <w:sz w:val="20"/>
        </w:rPr>
        <w:t>対象　2026年8月31日時点のWatashi技術報告</w:t>
      </w:r>
    </w:p>
    <w:p>
      <w:r>
        <w:br w:type="page"/>
      </w:r>
    </w:p>
    <w:p>
      <w:pPr>
        <w:pStyle w:val="Heading1"/>
      </w:pPr>
      <w:r>
        <w:t>概要</w:t>
      </w:r>
    </w:p>
    <w:p>
      <w:r>
        <w:rPr>
          <w:rFonts w:ascii="Calibri" w:hAnsi="Calibri" w:eastAsia="Yu Mincho"/>
        </w:rPr>
        <w:t>社内の共有ファイルを扱う既存ツールPANDAは、接続先やパスを個別に指定でき、踏み台を介した接続にも対応していた。また、配布と更新はClickOnceで実施できていた。一方、ユーザーごとに共有、サブパス、操作種別を組み合わせた細粒度の権限を設定することはできず、MySQLを用いたデータベースの構築・運用には専門知識を要した。そこで、既存のServer Message Block（SMB）ファイルサーバーを置き換えず、その手前に認証・認可・監査を集約する制御層を設ける後継ツールとしてWatashiを設計・実装した。</w:t>
      </w:r>
    </w:p>
    <w:p>
      <w:r>
        <w:rPr>
          <w:rFonts w:ascii="Calibri" w:hAnsi="Calibri" w:eastAsia="Yu Mincho"/>
        </w:rPr>
        <w:t>WatashiはWindows Presentation Foundation（WPF）クライアント、中央サーバー、共有ライブラリ、必要に応じて隔離ネットワークへ到達するAgentから構成される。中央サーバーは利用者認証、共有・サブパス・操作種別単位の認可、暗号化されたSMB資格情報の保持、操作監査を担う。ファイル操作は中央サーバーから直接SMBへ接続するDirect経路、Agentを一台介する経路、Agentを二段に連ねる一段Gateway経路のいずれかへ振り分ける。転送はセッション、オフセット、チャンクおよびファイル全体のハッシュを用いて再開と完全性確認を行う。</w:t>
      </w:r>
    </w:p>
    <w:p>
      <w:r>
        <w:rPr>
          <w:rFonts w:ascii="Calibri" w:hAnsi="Calibri" w:eastAsia="Yu Mincho"/>
        </w:rPr>
        <w:t>2026年8月31日にソリューションをビルドした結果、警告0件、エラー0件で完了した。xUnit自動テスト704件、手動検証245項目はいずれも合格した。検証では、認証・認可、Direct／Agent／Gateway経路、転送再開、監査記録、管理機能、ClickOnce配布・更新、IIS・SMB接続を含む受入条件を確認した。</w:t>
      </w:r>
    </w:p>
    <w:p>
      <w:r>
        <w:rPr>
          <w:rFonts w:ascii="Calibri" w:hAnsi="Calibri" w:eastAsia="Yu Mincho"/>
        </w:rPr>
        <w:t>以上から、WatashiはPANDAの運用上の利点を継承しながら、細粒度認可、認証・認可の集中管理、資格情報の保護、操作監査、転送再開、管理機能を一体的に提供するツールとして完成した。作成者として、主要機能と運用シナリオが設計どおりに動作することを、自動テストおよび手動検証で確認した。</w:t>
      </w:r>
    </w:p>
    <w:p>
      <w:r>
        <w:br w:type="page"/>
      </w:r>
    </w:p>
    <w:p>
      <w:pPr>
        <w:pStyle w:val="Heading1"/>
        <w:spacing w:after="320"/>
      </w:pPr>
      <w:r>
        <w:t>目次</w:t>
      </w:r>
    </w:p>
    <w:p>
      <w:pPr>
        <w:tabs>
          <w:tab w:pos="9000" w:val="left"/>
        </w:tabs>
        <w:spacing w:after="100"/>
        <w:ind w:left="144"/>
      </w:pPr>
      <w:r>
        <w:fldChar w:fldCharType="begin"/>
        <w:instrText xml:space="preserve">TOC \o "1-2" \h \z \u</w:instrText>
        <w:fldChar w:fldCharType="separate"/>
      </w:r>
      <w:r>
        <w:rPr>
          <w:rFonts w:ascii="Calibri" w:hAnsi="Calibri" w:eastAsia="Yu Mincho"/>
          <w:sz w:val="21"/>
        </w:rPr>
        <w:t>1. 序論</w:t>
      </w:r>
      <w:r>
        <w:rPr>
          <w:rFonts w:ascii="Calibri" w:hAnsi="Calibri" w:eastAsia="Yu Gothic"/>
        </w:rPr>
        <w:tab/>
      </w:r>
      <w:r>
        <w:rPr>
          <w:rFonts w:ascii="Calibri" w:hAnsi="Calibri" w:eastAsia="Yu Gothic"/>
          <w:sz w:val="21"/>
        </w:rPr>
        <w:t>4</w:t>
      </w:r>
    </w:p>
    <w:p>
      <w:pPr>
        <w:tabs>
          <w:tab w:pos="9000" w:val="left"/>
        </w:tabs>
        <w:spacing w:after="100"/>
        <w:ind w:left="144"/>
      </w:pPr>
      <w:r>
        <w:rPr>
          <w:rFonts w:ascii="Calibri" w:hAnsi="Calibri" w:eastAsia="Yu Mincho"/>
          <w:sz w:val="21"/>
        </w:rPr>
        <w:t>2. 要求と開発経緯</w:t>
      </w:r>
      <w:r>
        <w:rPr>
          <w:rFonts w:ascii="Calibri" w:hAnsi="Calibri" w:eastAsia="Yu Gothic"/>
        </w:rPr>
        <w:tab/>
      </w:r>
      <w:r>
        <w:rPr>
          <w:rFonts w:ascii="Calibri" w:hAnsi="Calibri" w:eastAsia="Yu Gothic"/>
          <w:sz w:val="21"/>
        </w:rPr>
        <w:t>6</w:t>
      </w:r>
    </w:p>
    <w:p>
      <w:pPr>
        <w:tabs>
          <w:tab w:pos="9000" w:val="left"/>
        </w:tabs>
        <w:spacing w:after="100"/>
        <w:ind w:left="144"/>
      </w:pPr>
      <w:r>
        <w:rPr>
          <w:rFonts w:ascii="Calibri" w:hAnsi="Calibri" w:eastAsia="Yu Mincho"/>
          <w:sz w:val="21"/>
        </w:rPr>
        <w:t>3. 設計方針と全体構成</w:t>
      </w:r>
      <w:r>
        <w:rPr>
          <w:rFonts w:ascii="Calibri" w:hAnsi="Calibri" w:eastAsia="Yu Gothic"/>
        </w:rPr>
        <w:tab/>
      </w:r>
      <w:r>
        <w:rPr>
          <w:rFonts w:ascii="Calibri" w:hAnsi="Calibri" w:eastAsia="Yu Gothic"/>
          <w:sz w:val="21"/>
        </w:rPr>
        <w:t>9</w:t>
      </w:r>
    </w:p>
    <w:p>
      <w:pPr>
        <w:tabs>
          <w:tab w:pos="9000" w:val="left"/>
        </w:tabs>
        <w:spacing w:after="100"/>
        <w:ind w:left="144"/>
      </w:pPr>
      <w:r>
        <w:rPr>
          <w:rFonts w:ascii="Calibri" w:hAnsi="Calibri" w:eastAsia="Yu Mincho"/>
          <w:sz w:val="21"/>
        </w:rPr>
        <w:t>4. 主要機能の実装</w:t>
      </w:r>
      <w:r>
        <w:rPr>
          <w:rFonts w:ascii="Calibri" w:hAnsi="Calibri" w:eastAsia="Yu Gothic"/>
        </w:rPr>
        <w:tab/>
      </w:r>
      <w:r>
        <w:rPr>
          <w:rFonts w:ascii="Calibri" w:hAnsi="Calibri" w:eastAsia="Yu Gothic"/>
          <w:sz w:val="21"/>
        </w:rPr>
        <w:t>12</w:t>
      </w:r>
    </w:p>
    <w:p>
      <w:pPr>
        <w:tabs>
          <w:tab w:pos="9000" w:val="left"/>
        </w:tabs>
        <w:spacing w:after="100"/>
        <w:ind w:left="144"/>
      </w:pPr>
      <w:r>
        <w:rPr>
          <w:rFonts w:ascii="Calibri" w:hAnsi="Calibri" w:eastAsia="Yu Mincho"/>
          <w:sz w:val="21"/>
        </w:rPr>
        <w:t>5. 検証方法</w:t>
      </w:r>
      <w:r>
        <w:rPr>
          <w:rFonts w:ascii="Calibri" w:hAnsi="Calibri" w:eastAsia="Yu Gothic"/>
        </w:rPr>
        <w:tab/>
      </w:r>
      <w:r>
        <w:rPr>
          <w:rFonts w:ascii="Calibri" w:hAnsi="Calibri" w:eastAsia="Yu Gothic"/>
          <w:sz w:val="21"/>
        </w:rPr>
        <w:t>17</w:t>
      </w:r>
    </w:p>
    <w:p>
      <w:pPr>
        <w:tabs>
          <w:tab w:pos="9000" w:val="left"/>
        </w:tabs>
        <w:spacing w:after="100"/>
        <w:ind w:left="144"/>
      </w:pPr>
      <w:r>
        <w:rPr>
          <w:rFonts w:ascii="Calibri" w:hAnsi="Calibri" w:eastAsia="Yu Mincho"/>
          <w:sz w:val="21"/>
        </w:rPr>
        <w:t>6. 結果</w:t>
      </w:r>
      <w:r>
        <w:rPr>
          <w:rFonts w:ascii="Calibri" w:hAnsi="Calibri" w:eastAsia="Yu Gothic"/>
        </w:rPr>
        <w:tab/>
      </w:r>
      <w:r>
        <w:rPr>
          <w:rFonts w:ascii="Calibri" w:hAnsi="Calibri" w:eastAsia="Yu Gothic"/>
          <w:sz w:val="21"/>
        </w:rPr>
        <w:t>19</w:t>
      </w:r>
    </w:p>
    <w:p>
      <w:pPr>
        <w:tabs>
          <w:tab w:pos="9000" w:val="left"/>
        </w:tabs>
        <w:spacing w:after="100"/>
        <w:ind w:left="144"/>
      </w:pPr>
      <w:r>
        <w:rPr>
          <w:rFonts w:ascii="Calibri" w:hAnsi="Calibri" w:eastAsia="Yu Mincho"/>
          <w:sz w:val="21"/>
        </w:rPr>
        <w:t>7. 考察</w:t>
      </w:r>
      <w:r>
        <w:rPr>
          <w:rFonts w:ascii="Calibri" w:hAnsi="Calibri" w:eastAsia="Yu Gothic"/>
        </w:rPr>
        <w:tab/>
      </w:r>
      <w:r>
        <w:rPr>
          <w:rFonts w:ascii="Calibri" w:hAnsi="Calibri" w:eastAsia="Yu Gothic"/>
          <w:sz w:val="21"/>
        </w:rPr>
        <w:t>21</w:t>
      </w:r>
    </w:p>
    <w:p>
      <w:pPr>
        <w:tabs>
          <w:tab w:pos="9000" w:val="left"/>
        </w:tabs>
        <w:spacing w:after="100"/>
        <w:ind w:left="144"/>
      </w:pPr>
      <w:r>
        <w:rPr>
          <w:rFonts w:ascii="Calibri" w:hAnsi="Calibri" w:eastAsia="Yu Mincho"/>
          <w:sz w:val="21"/>
        </w:rPr>
        <w:t>8. 結論と今後の課題</w:t>
      </w:r>
      <w:r>
        <w:rPr>
          <w:rFonts w:ascii="Calibri" w:hAnsi="Calibri" w:eastAsia="Yu Gothic"/>
        </w:rPr>
        <w:tab/>
      </w:r>
      <w:r>
        <w:rPr>
          <w:rFonts w:ascii="Calibri" w:hAnsi="Calibri" w:eastAsia="Yu Gothic"/>
          <w:sz w:val="21"/>
        </w:rPr>
        <w:t>23</w:t>
      </w:r>
    </w:p>
    <w:p>
      <w:pPr>
        <w:tabs>
          <w:tab w:pos="9000" w:val="left"/>
        </w:tabs>
        <w:spacing w:after="100"/>
        <w:ind w:left="144"/>
      </w:pPr>
      <w:r>
        <w:rPr>
          <w:rFonts w:ascii="Calibri" w:hAnsi="Calibri" w:eastAsia="Yu Mincho"/>
          <w:sz w:val="21"/>
        </w:rPr>
        <w:t>参考文献</w:t>
      </w:r>
      <w:r>
        <w:rPr>
          <w:rFonts w:ascii="Calibri" w:hAnsi="Calibri" w:eastAsia="Yu Gothic"/>
        </w:rPr>
        <w:tab/>
      </w:r>
      <w:r>
        <w:rPr>
          <w:rFonts w:ascii="Calibri" w:hAnsi="Calibri" w:eastAsia="Yu Gothic"/>
          <w:sz w:val="21"/>
        </w:rPr>
        <w:t>24</w:t>
      </w:r>
    </w:p>
    <w:p>
      <w:pPr>
        <w:tabs>
          <w:tab w:pos="9000" w:val="left"/>
        </w:tabs>
        <w:spacing w:after="100"/>
        <w:ind w:left="144"/>
      </w:pPr>
      <w:r>
        <w:rPr>
          <w:rFonts w:ascii="Calibri" w:hAnsi="Calibri" w:eastAsia="Yu Mincho"/>
          <w:sz w:val="21"/>
        </w:rPr>
        <w:t>付録A 要求・実装・検証の対応</w:t>
      </w:r>
      <w:r>
        <w:rPr>
          <w:rFonts w:ascii="Calibri" w:hAnsi="Calibri" w:eastAsia="Yu Gothic"/>
        </w:rPr>
        <w:tab/>
      </w:r>
      <w:r>
        <w:rPr>
          <w:rFonts w:ascii="Calibri" w:hAnsi="Calibri" w:eastAsia="Yu Gothic"/>
          <w:sz w:val="21"/>
        </w:rPr>
        <w:t>26</w:t>
      </w:r>
    </w:p>
    <w:p>
      <w:pPr>
        <w:tabs>
          <w:tab w:pos="9000" w:val="left"/>
        </w:tabs>
        <w:spacing w:after="100"/>
        <w:ind w:left="144"/>
      </w:pPr>
      <w:r>
        <w:rPr>
          <w:rFonts w:ascii="Calibri" w:hAnsi="Calibri" w:eastAsia="Yu Mincho"/>
          <w:sz w:val="21"/>
        </w:rPr>
        <w:t>付録B 提出前チェック</w:t>
      </w:r>
      <w:r>
        <w:rPr>
          <w:rFonts w:ascii="Calibri" w:hAnsi="Calibri" w:eastAsia="Yu Gothic"/>
        </w:rPr>
        <w:tab/>
      </w:r>
      <w:r>
        <w:rPr>
          <w:rFonts w:ascii="Calibri" w:hAnsi="Calibri" w:eastAsia="Yu Gothic"/>
          <w:sz w:val="21"/>
        </w:rPr>
        <w:t>27</w:t>
      </w:r>
      <w:r>
        <w:fldChar w:fldCharType="end"/>
      </w:r>
    </w:p>
    <w:p>
      <w:r>
        <w:br w:type="page"/>
      </w:r>
    </w:p>
    <w:p>
      <w:pPr>
        <w:pStyle w:val="Heading1"/>
      </w:pPr>
      <w:r>
        <w:rPr>
          <w:rFonts w:ascii="Calibri" w:hAnsi="Calibri" w:eastAsia="Yu Gothic"/>
        </w:rPr>
        <w:t>1. 序論</w:t>
      </w:r>
    </w:p>
    <w:p>
      <w:pPr>
        <w:pStyle w:val="Heading2"/>
      </w:pPr>
      <w:r>
        <w:rPr>
          <w:rFonts w:ascii="Calibri" w:hAnsi="Calibri" w:eastAsia="Yu Gothic"/>
        </w:rPr>
        <w:t>1.1 背景</w:t>
      </w:r>
    </w:p>
    <w:p>
      <w:r>
        <w:rPr>
          <w:rFonts w:ascii="Calibri" w:hAnsi="Calibri" w:eastAsia="Yu Mincho"/>
        </w:rPr>
        <w:t>企業内では、文書、設計データ、申請資料などをWindowsファイルサーバー上の共有フォルダーで管理することが多い。SMBはネットワーク越しにファイルやディレクトリを読み書きするためのプロトコルであり、Common Internet File System（CIFS）はSMBの一つの方言として位置付けられる[E1]。本レポートでは、現行実装がSMB2/3を扱うことを踏まえて原則として「SMB」と表記し、既存資料名や従来の呼称を説明するときに限って「CIFS」を用いる。</w:t>
      </w:r>
    </w:p>
    <w:p>
      <w:r>
        <w:rPr>
          <w:rFonts w:ascii="Calibri" w:hAnsi="Calibri" w:eastAsia="Yu Mincho"/>
        </w:rPr>
        <w:t>本開発以前から社内で利用されていたファイルアクセスツールをPANDAと呼ぶ。PANDAは接続先やパスを個別に指定でき、踏み台経由の接続およびClickOnceによる配布・更新にも対応していた。一方、ユーザーごとに共有、サブパス、操作種別を組み合わせた細粒度の権限設定はできず、MySQLを用いた構築・運用には専門知識を要した。Watashiでは、PANDAが備えていた接続・配布機能を継承しながら、認証、認可、監査、データベース構築の扱いやすさを改善することを目標とした[I1]。</w:t>
      </w:r>
    </w:p>
    <w:p>
      <w:r>
        <w:rPr>
          <w:rFonts w:ascii="Calibri" w:hAnsi="Calibri" w:eastAsia="Yu Mincho"/>
        </w:rPr>
        <w:t>Watashiは既存のSMBファイルサーバーを置換する製品ではない。社員PCとファイルサーバーの間に、認証、最小権限、通信経路の選択、資格情報の秘匿、監査記録を実施する「安全な入口」を追加するものである[I2]。この位置付けにより、既存の共有フォルダーやサーバー運用を残しつつ、利用者へSMB資格情報を直接配布しない利用形態を実現する。</w:t>
      </w:r>
    </w:p>
    <w:p>
      <w:pPr>
        <w:pStyle w:val="Heading2"/>
      </w:pPr>
      <w:r>
        <w:rPr>
          <w:rFonts w:ascii="Calibri" w:hAnsi="Calibri" w:eastAsia="Yu Gothic"/>
        </w:rPr>
        <w:t>1.2 目的</w:t>
      </w:r>
    </w:p>
    <w:p>
      <w:r>
        <w:rPr>
          <w:rFonts w:ascii="Calibri" w:hAnsi="Calibri" w:eastAsia="Yu Mincho"/>
        </w:rPr>
        <w:t>本レポートの目的は、PANDAで得た運用上の知見をWatashiがどのような要求へ変換し、どのような設計・実装で実現したかを、ツール作成者の視点から説明することである。さらに、ビルド、自動テスト、手動検証を通じて確認した動作と、今後の拡張方針を整理する。</w:t>
      </w:r>
    </w:p>
    <w:p>
      <w:r>
        <w:rPr>
          <w:rFonts w:ascii="Calibri" w:hAnsi="Calibri" w:eastAsia="Yu Mincho"/>
        </w:rPr>
        <w:t>評価課題を次の六点に定める。</w:t>
      </w:r>
    </w:p>
    <w:p>
      <w:pPr>
        <w:spacing w:after="80" w:line="290" w:lineRule="auto"/>
        <w:ind w:left="540" w:hanging="279"/>
        <w:jc w:val="left"/>
        <w:numPr>
          <w:ilvl w:val="0"/>
          <w:numId w:val="10"/>
        </w:numPr>
      </w:pPr>
      <w:r>
        <w:rPr>
          <w:rFonts w:ascii="Calibri" w:hAnsi="Calibri" w:eastAsia="Yu Mincho"/>
        </w:rPr>
        <w:t>RQ1: Direct、Agent、Gatewayの各経路で、認証と細粒度認可が共通の規則として強制されるか。</w:t>
      </w:r>
    </w:p>
    <w:p>
      <w:pPr>
        <w:spacing w:after="80" w:line="290" w:lineRule="auto"/>
        <w:ind w:left="540" w:hanging="279"/>
        <w:jc w:val="left"/>
        <w:numPr>
          <w:ilvl w:val="0"/>
          <w:numId w:val="10"/>
        </w:numPr>
      </w:pPr>
      <w:r>
        <w:rPr>
          <w:rFonts w:ascii="Calibri" w:hAnsi="Calibri" w:eastAsia="Yu Mincho"/>
        </w:rPr>
        <w:t>RQ2: Watashi経由の対象操作を、拒否や障害を含めて追跡できるか。</w:t>
      </w:r>
    </w:p>
    <w:p>
      <w:pPr>
        <w:spacing w:after="80" w:line="290" w:lineRule="auto"/>
        <w:ind w:left="540" w:hanging="279"/>
        <w:jc w:val="left"/>
        <w:numPr>
          <w:ilvl w:val="0"/>
          <w:numId w:val="10"/>
        </w:numPr>
      </w:pPr>
      <w:r>
        <w:rPr>
          <w:rFonts w:ascii="Calibri" w:hAnsi="Calibri" w:eastAsia="Yu Mincho"/>
        </w:rPr>
        <w:t>RQ3: 通信区間、トークン、パスワード、SMB資格情報が想定した脅威から保護されるか。</w:t>
      </w:r>
    </w:p>
    <w:p>
      <w:pPr>
        <w:spacing w:after="80" w:line="290" w:lineRule="auto"/>
        <w:ind w:left="540" w:hanging="279"/>
        <w:jc w:val="left"/>
        <w:numPr>
          <w:ilvl w:val="0"/>
          <w:numId w:val="10"/>
        </w:numPr>
      </w:pPr>
      <w:r>
        <w:rPr>
          <w:rFonts w:ascii="Calibri" w:hAnsi="Calibri" w:eastAsia="Yu Mincho"/>
        </w:rPr>
        <w:t>RQ4: 通信中断、再実行、競合が発生した場合に、転送を安全に再開または失敗させられるか。</w:t>
      </w:r>
    </w:p>
    <w:p>
      <w:pPr>
        <w:spacing w:after="80" w:line="290" w:lineRule="auto"/>
        <w:ind w:left="540" w:hanging="279"/>
        <w:jc w:val="left"/>
        <w:numPr>
          <w:ilvl w:val="0"/>
          <w:numId w:val="10"/>
        </w:numPr>
      </w:pPr>
      <w:r>
        <w:rPr>
          <w:rFonts w:ascii="Calibri" w:hAnsi="Calibri" w:eastAsia="Yu Mincho"/>
        </w:rPr>
        <w:t>RQ5: Direct、単一Agent、Gateway経路において、機能の共通性と障害時の振る舞いを確認できるか。</w:t>
      </w:r>
    </w:p>
    <w:p>
      <w:pPr>
        <w:spacing w:after="80" w:line="290" w:lineRule="auto"/>
        <w:ind w:left="540" w:hanging="279"/>
        <w:jc w:val="left"/>
        <w:numPr>
          <w:ilvl w:val="0"/>
          <w:numId w:val="10"/>
        </w:numPr>
      </w:pPr>
      <w:r>
        <w:rPr>
          <w:rFonts w:ascii="Calibri" w:hAnsi="Calibri" w:eastAsia="Yu Mincho"/>
        </w:rPr>
        <w:t>RQ6: 配布、利用者登録、権限付与、ログ確認など、PANDAで課題となった管理手順を簡素化できる構造か。</w:t>
      </w:r>
    </w:p>
    <w:p>
      <w:pPr>
        <w:pStyle w:val="Heading2"/>
      </w:pPr>
      <w:r>
        <w:rPr>
          <w:rFonts w:ascii="Calibri" w:hAnsi="Calibri" w:eastAsia="Yu Gothic"/>
        </w:rPr>
        <w:t>1.3 対象範囲と対象外</w:t>
      </w:r>
    </w:p>
    <w:p>
      <w:r>
        <w:rPr>
          <w:rFonts w:ascii="Calibri" w:hAnsi="Calibri" w:eastAsia="Yu Mincho"/>
        </w:rPr>
        <w:t>対象は、Watashi.Client、Watashi.Server、Watashi.Agent、Watashi.Shared、Watashi.Tests、配布スクリプト、設定および関連文書である。評価基準日は2026年8月31日とし、同日時点の設計、実装、運用手順および検証結果を扱う。</w:t>
      </w:r>
    </w:p>
    <w:p>
      <w:r>
        <w:rPr>
          <w:rFonts w:ascii="Calibri" w:hAnsi="Calibri" w:eastAsia="Yu Mincho"/>
        </w:rPr>
        <w:t>端末自体がマルウェアに侵害された場合、中央サーバーの管理者権限が悪用された場合、暗号鍵や証明書の保管基盤が侵害された場合、利用者がWatashiを迂回してSMBへ直接接続できる場合は、本稿の制御だけで防止できない。また、PANDAとWatashiの工数比較、同時50名での性能、災害復旧時間、長期間の可用性は、現時点で統制された実測がないため対象外または今後の検証事項とする。</w:t>
      </w:r>
    </w:p>
    <w:p>
      <w:pPr>
        <w:pStyle w:val="Heading2"/>
      </w:pPr>
      <w:r>
        <w:rPr>
          <w:rFonts w:ascii="Calibri" w:hAnsi="Calibri" w:eastAsia="Yu Gothic"/>
        </w:rPr>
        <w:t>1.4 本レポートの構成</w:t>
      </w:r>
    </w:p>
    <w:p>
      <w:r>
        <w:rPr>
          <w:rFonts w:ascii="Calibri" w:hAnsi="Calibri" w:eastAsia="Yu Mincho"/>
        </w:rPr>
        <w:t>第2章ではPANDAの運用知見を要求へ変換し、Watashiの開発経緯を整理する。第3章では設計原則、信頼境界、構成要素と処理の流れを示す。第4章では認証、認可、転送、Agent、監査、クライアント、運用機能の実装を説明する。第5章で確認方法を定義し、第6章で結果を示す。第7章では要求ごとの実現内容と設計上の判断を考察し、第8章で成果と今後の拡張方針を述べる。</w:t>
      </w:r>
    </w:p>
    <w:p>
      <w:pPr>
        <w:pStyle w:val="Heading1"/>
      </w:pPr>
      <w:r>
        <w:rPr>
          <w:rFonts w:ascii="Calibri" w:hAnsi="Calibri" w:eastAsia="Yu Gothic"/>
        </w:rPr>
        <w:t>2. 要求と開発経緯</w:t>
      </w:r>
    </w:p>
    <w:p>
      <w:pPr>
        <w:pStyle w:val="Heading2"/>
      </w:pPr>
      <w:r>
        <w:rPr>
          <w:rFonts w:ascii="Calibri" w:hAnsi="Calibri" w:eastAsia="Yu Gothic"/>
        </w:rPr>
        <w:t>2.1 PANDAの課題から導いた要求</w:t>
      </w:r>
    </w:p>
    <w:p>
      <w:r>
        <w:rPr>
          <w:rFonts w:ascii="Calibri" w:hAnsi="Calibri" w:eastAsia="Yu Mincho"/>
        </w:rPr>
        <w:t>PANDAの運用経験から得た改善点を、Watashiの要求へ変換すると表1のようになる。</w:t>
      </w:r>
    </w:p>
    <w:p>
      <w:pPr>
        <w:pStyle w:val="Caption"/>
        <w:keepNext/>
        <w:keepLines/>
        <w:spacing w:after="60"/>
        <w:jc w:val="left"/>
      </w:pPr>
      <w:r>
        <w:rPr>
          <w:rFonts w:ascii="Calibri" w:hAnsi="Calibri" w:eastAsia="Yu Mincho"/>
          <w:sz w:val="19"/>
        </w:rPr>
        <w:t>表1 PANDAの課題とWatashiの要求</w:t>
      </w:r>
    </w:p>
    <w:tbl>
      <w:tblPr>
        <w:tblStyle w:val="TableGrid"/>
        <w:tblW w:type="dxa" w:w="9360"/>
        <w:jc w:val="center"/>
        <w:tblLayout w:type="fixed"/>
        <w:tblLook w:firstColumn="1" w:firstRow="1" w:lastColumn="0" w:lastRow="0" w:noHBand="0" w:noVBand="1" w:val="04A0"/>
        <w:tblInd w:w="120" w:type="dxa"/>
      </w:tblPr>
      <w:tblGrid>
        <w:gridCol w:w="1700"/>
        <w:gridCol w:w="3630"/>
        <w:gridCol w:w="4030"/>
      </w:tblGrid>
      <w:tr>
        <w:trPr>
          <w:tblHeader w:val="true"/>
        </w:trPr>
        <w:tc>
          <w:tcPr>
            <w:tcW w:type="dxa" w:w="17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PANDAの状況・改善点</w:t>
            </w:r>
          </w:p>
        </w:tc>
        <w:tc>
          <w:tcPr>
            <w:tcW w:type="dxa" w:w="36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Watashiへの要求</w:t>
            </w:r>
          </w:p>
        </w:tc>
        <w:tc>
          <w:tcPr>
            <w:tcW w:type="dxa" w:w="40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確認した主な機能</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パス指定は可能だが、利用者ごとの操作権限を細分化できない</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利用者、共有、サブパス、操作種別で認可する</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PermissionService、異常系テスト</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通信路の保護をさらに高めたい</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HTTPSを選択でき、Agent間では必要に応じて相互認証できる</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設定、証明書検証、経路試験</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SMB資格情報の配布・管理</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資格情報を中央で暗号化し、クライアントへ返さない</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EncryptionService、DTO、API試験</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操作の追跡が困難</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ファイル操作と管理操作を監査し、検索・CSV出力する</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AuditLog、outbox、手動検証</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利用者・権限の個別設定</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CSV、権限テンプレート、権限セット、コピーを提供する</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管理API、WPF画面、実機試験</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踏み台経由の接続は可能だが、経路設定や接続先管理が分散している</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Direct／Agent／Gatewayを中央で一元管理する</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NodeRouter、AgentForwarder、経路試験</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ClickOnceで配布・更新は可能だが、接続先や機能設定の管理が別途必要</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deployment.jsonで接続先・更新先・機能設定を配布時に固定する</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発行設定、deployment.json、配布試験</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MySQLの構築・運用に専門知識が必要</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SQLiteとバックアップ手順で導入・運用負担を抑える</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SQLite、バックアップ、セットアップ手順</w:t>
            </w:r>
          </w:p>
        </w:tc>
      </w:tr>
    </w:tbl>
    <w:p>
      <w:pPr>
        <w:spacing w:after="0"/>
      </w:pPr>
    </w:p>
    <w:p>
      <w:r>
        <w:rPr>
          <w:rFonts w:ascii="Calibri" w:hAnsi="Calibri" w:eastAsia="Yu Mincho"/>
        </w:rPr>
        <w:t>図1にはPANDAの代表的な操作画面を配置し、Watashiが継承した操作イメージと改善対象を視覚的に示す。スクリーンショットは提出時に実画面へ差し替える。</w:t>
      </w:r>
    </w:p>
    <w:p>
      <w:pPr>
        <w:keepNext/>
        <w:spacing w:before="120" w:after="40"/>
        <w:jc w:val="center"/>
      </w:pPr>
      <w:r>
        <w:drawing>
          <wp:inline xmlns:a="http://schemas.openxmlformats.org/drawingml/2006/main" xmlns:pic="http://schemas.openxmlformats.org/drawingml/2006/picture">
            <wp:extent cx="5623560" cy="3161690"/>
            <wp:docPr id="1" name="Picture 1" descr="PANDAの現行画面を後から挿入するためのプレースホルダー"/>
            <wp:cNvGraphicFramePr>
              <a:graphicFrameLocks noChangeAspect="1"/>
            </wp:cNvGraphicFramePr>
            <a:graphic>
              <a:graphicData uri="http://schemas.openxmlformats.org/drawingml/2006/picture">
                <pic:pic>
                  <pic:nvPicPr>
                    <pic:cNvPr id="0" name="placeholder-panda-operations.png"/>
                    <pic:cNvPicPr/>
                  </pic:nvPicPr>
                  <pic:blipFill>
                    <a:blip r:embed="rId11">
                      <a:extLst>
                        <a:ext uri="{96DAC541-7B7A-43D3-8B79-37D633B846F1}">
                          <asvg:svgBlip xmlns:asvg="http://schemas.microsoft.com/office/drawing/2016/SVG/main" r:embed="rId12"/>
                        </a:ext>
                      </a:extLst>
                    </a:blip>
                    <a:stretch>
                      <a:fillRect/>
                    </a:stretch>
                  </pic:blipFill>
                  <pic:spPr>
                    <a:xfrm>
                      <a:off x="0" y="0"/>
                      <a:ext cx="5623560" cy="3161690"/>
                    </a:xfrm>
                    <a:prstGeom prst="rect"/>
                  </pic:spPr>
                </pic:pic>
              </a:graphicData>
            </a:graphic>
          </wp:inline>
        </w:drawing>
      </w:r>
    </w:p>
    <w:p>
      <w:pPr>
        <w:pStyle w:val="Caption"/>
        <w:keepNext w:val="0"/>
        <w:keepLines/>
        <w:spacing w:after="160"/>
        <w:jc w:val="center"/>
      </w:pPr>
      <w:r>
        <w:rPr>
          <w:rFonts w:ascii="Calibri" w:hAnsi="Calibri" w:eastAsia="Yu Mincho"/>
          <w:sz w:val="19"/>
        </w:rPr>
        <w:t>図1 PANDAの現行画面と代表的な操作手順（スクリーンショット差し替え欄）</w:t>
      </w:r>
    </w:p>
    <w:p>
      <w:r>
        <w:rPr>
          <w:rFonts w:ascii="Calibri" w:hAnsi="Calibri" w:eastAsia="Yu Mincho"/>
        </w:rPr>
        <w:t>要求の中心は「中央集権」である。PANDAが備えていた個別パス指定、踏み台接続、ClickOnce配布を継承しつつ、接続先、利用者、許可範囲、操作結果を一つの制御点で扱う構造を目指した。中央サーバーは単一障害点かつ高価値の攻撃対象となるため、Windows Serviceによる自動復旧、SQLiteバックアップ、ヘルス監視、鍵・証明書の運用を組み合わせる。</w:t>
      </w:r>
    </w:p>
    <w:p>
      <w:pPr>
        <w:pStyle w:val="Heading2"/>
      </w:pPr>
      <w:r>
        <w:rPr>
          <w:rFonts w:ascii="Calibri" w:hAnsi="Calibri" w:eastAsia="Yu Gothic"/>
        </w:rPr>
        <w:t>2.2 初期設計</w:t>
      </w:r>
    </w:p>
    <w:p>
      <w:r>
        <w:rPr>
          <w:rFonts w:ascii="Calibri" w:hAnsi="Calibri" w:eastAsia="Yu Mincho"/>
        </w:rPr>
        <w:t>初期仕様は、WPFクライアント、ASP.NET Core中央サーバー、Agent、共有ライブラリを約19.5週、11フェーズで実装する計画であった[I3]。フェーズは、基盤、認証、権限、Direct経路のSMB操作、監査・管理API、Agent、ルーティング、WPF利用者画面、管理画面、配布、試験の順に依存関係を持たせている。2026年5月21日の初期コミット後、5月22日にPhase 1から11までの主要実装が取り込まれた[I4]。</w:t>
      </w:r>
    </w:p>
    <w:p>
      <w:r>
        <w:rPr>
          <w:rFonts w:ascii="Calibri" w:hAnsi="Calibri" w:eastAsia="Yu Mincho"/>
        </w:rPr>
        <w:t>初期設計では、JWTによる短時間アクセストークン、bcryptによるパスワード保存、共有・サブパス単位の権限、SMBストリーミング、AgentへのmTLS接続、SQLite Write-Ahead Logging（WAL）、ClickOnce配布などを採用した。SQLiteのWALは、更新をWALファイルへ追記し、読み取りと書き込みの並行性を改善する方式である[E6]。PANDAで必要であったMySQLサーバーの構築・初期設定・運用負担を抑え、アプリケーションと一体で導入できることを優先した選択である。</w:t>
      </w:r>
    </w:p>
    <w:p>
      <w:pPr>
        <w:pStyle w:val="Heading2"/>
      </w:pPr>
      <w:r>
        <w:rPr>
          <w:rFonts w:ascii="Calibri" w:hAnsi="Calibri" w:eastAsia="Yu Gothic"/>
        </w:rPr>
        <w:t>2.3 実装後の主要な転換点</w:t>
      </w:r>
    </w:p>
    <w:p>
      <w:r>
        <w:rPr>
          <w:rFonts w:ascii="Calibri" w:hAnsi="Calibri" w:eastAsia="Yu Mincho"/>
        </w:rPr>
        <w:t>第一の転換点は、2026年5月23日から29日にかけてのUI、セキュリティ、集中管理の改善である。初期実装後の不具合と運用要求を受け、例外情報の抑制、管理者ロックアウト防止、CSV数式インジェクション対策、権限セット、ユーザーCSV、接続先の配布時固定などが追加された。途中でBootstrap URLによる動的な接続先取得を導入したが、その後、接続先やドラッグ&amp;ドロップ可否を</w:t>
      </w:r>
      <w:r>
        <w:rPr>
          <w:rFonts w:ascii="Consolas" w:hAnsi="Consolas"/>
          <w:color w:val="1F4D78"/>
          <w:sz w:val="21"/>
          <w:shd w:fill="EEF2F6"/>
        </w:rPr>
        <w:t>deployment.json</w:t>
      </w:r>
      <w:r>
        <w:rPr>
          <w:rFonts w:ascii="Calibri" w:hAnsi="Calibri" w:eastAsia="Yu Mincho"/>
        </w:rPr>
        <w:t>で配布時に固定する方式へ変更した[I4]。これは柔軟性よりも、利用者が誤った中央サーバーへ接続できないガバナンスを優先した判断である。</w:t>
      </w:r>
    </w:p>
    <w:p>
      <w:r>
        <w:rPr>
          <w:rFonts w:ascii="Calibri" w:hAnsi="Calibri" w:eastAsia="Yu Mincho"/>
        </w:rPr>
        <w:t>第二の転換点は、Agent経路と証明書運用の強化である。AgentのHTTP構成、共有秘密、mTLS、プロキシ、証明書更新に関する実運用上の課題を受け、起動時設定検証、中央証明書の照合、Agent一段チェーン、社内認証局とACMEを用いた更新手順が整備された。これにより、中央から直接到達できないセグメントだけでなく、Gateway Agentを介してもう一段先のAgentへ到達する構成を扱えるようになった。</w:t>
      </w:r>
    </w:p>
    <w:p>
      <w:r>
        <w:rPr>
          <w:rFonts w:ascii="Calibri" w:hAnsi="Calibri" w:eastAsia="Yu Mincho"/>
        </w:rPr>
        <w:t>第三の転換点は、転送と監査の耐障害性向上である。2026年8月には、転送セッション、範囲アップロード、ハッシュ、永続キュー、再試行、</w:t>
      </w:r>
      <w:r>
        <w:rPr>
          <w:rFonts w:ascii="Consolas" w:hAnsi="Consolas"/>
          <w:color w:val="1F4D78"/>
          <w:sz w:val="21"/>
          <w:shd w:fill="EEF2F6"/>
        </w:rPr>
        <w:t>.part</w:t>
      </w:r>
      <w:r>
        <w:rPr>
          <w:rFonts w:ascii="Calibri" w:hAnsi="Calibri" w:eastAsia="Yu Mincho"/>
        </w:rPr>
        <w:t>ファイル、監査outboxなどが追加された。通信断やプロセス再起動を「最初からやり直す」だけでなく、確定位置から再開し、監査ログの直接保存に失敗した場合もoutboxを用いて再試行する方向へ設計が発展した。管理ごみ箱や検索などの機能は、内部APIとしての役割と利用者画面で提供する範囲を整理した。</w:t>
      </w:r>
    </w:p>
    <w:p>
      <w:r>
        <w:rPr>
          <w:rFonts w:ascii="Calibri" w:hAnsi="Calibri" w:eastAsia="Yu Mincho"/>
        </w:rPr>
        <w:t>第四の転換点は、本人による初回パスワード設定とアカウント状態の強化である。管理者が一時パスワードを配布する方式に加え、Windows統合認証で本人のOSアカウントを確認し、本人が初回パスワードを決める経路が追加された。アカウント無効化、権限有効期間、複数信頼端末、表示名なども加わり、単純なファイル転送ツールから、利用者ライフサイクルを含む管理基盤へ範囲が広がった。</w:t>
      </w:r>
    </w:p>
    <w:p>
      <w:pPr>
        <w:pStyle w:val="Heading1"/>
      </w:pPr>
      <w:r>
        <w:rPr>
          <w:rFonts w:ascii="Calibri" w:hAnsi="Calibri" w:eastAsia="Yu Gothic"/>
        </w:rPr>
        <w:t>3. 設計方針と全体構成</w:t>
      </w:r>
    </w:p>
    <w:p>
      <w:pPr>
        <w:pStyle w:val="Heading2"/>
      </w:pPr>
      <w:r>
        <w:rPr>
          <w:rFonts w:ascii="Calibri" w:hAnsi="Calibri" w:eastAsia="Yu Gothic"/>
        </w:rPr>
        <w:t>3.1 設計原則</w:t>
      </w:r>
    </w:p>
    <w:p>
      <w:r>
        <w:rPr>
          <w:rFonts w:ascii="Calibri" w:hAnsi="Calibri" w:eastAsia="Yu Mincho"/>
        </w:rPr>
        <w:t>Watashiの設計原則は、中央集権、最小権限、全対象操作の監査、多層防御、到達網に応じた中継の五点である[I2]。中央集権は制御の一貫性を、最小権限は被害範囲の限定を、監査は事後追跡を、多層防御は単一対策の失敗への備えを、Agent中継はネットワーク分離との両立を目的とする。</w:t>
      </w:r>
    </w:p>
    <w:p>
      <w:r>
        <w:rPr>
          <w:rFonts w:ascii="Calibri" w:hAnsi="Calibri" w:eastAsia="Yu Mincho"/>
        </w:rPr>
        <w:t>「全操作を監査する」という方針は、Watashiを経由した実装対象操作を記録することを意味する。対象操作、記録生成、永続化、転送、重複排除、検索・出力を一連の機能として設計し、利用者と管理者が操作の経緯を追跡できるようにした。</w:t>
      </w:r>
    </w:p>
    <w:p>
      <w:pPr>
        <w:pStyle w:val="Heading2"/>
      </w:pPr>
      <w:r>
        <w:rPr>
          <w:rFonts w:ascii="Calibri" w:hAnsi="Calibri" w:eastAsia="Yu Gothic"/>
        </w:rPr>
        <w:t>3.2 構成要素</w:t>
      </w:r>
    </w:p>
    <w:p>
      <w:r>
        <w:rPr>
          <w:rFonts w:ascii="Calibri" w:hAnsi="Calibri" w:eastAsia="Yu Mincho"/>
        </w:rPr>
        <w:t>Watashi.Clientは社員PC上で動作するWPFアプリケーションである。ローカルとリモートを左右に並べる二ペインUI、転送キュー、ログイン、個人設定、管理画面を提供する。既定のターゲットは.NET 10のWindows向けWPFである。</w:t>
      </w:r>
    </w:p>
    <w:p>
      <w:r>
        <w:rPr>
          <w:rFonts w:ascii="Calibri" w:hAnsi="Calibri" w:eastAsia="Yu Mincho"/>
        </w:rPr>
        <w:t>Watashi.Serverは.NET 8のASP.NET Core Minimal APIで実装された中央サーバーである。認証、認可、監査、SMB資格情報、ルーティング、管理API、SQLiteデータベースを保持し、Windows Serviceとして常駐できる。Watashi.Agentも.NET 8のASP.NET Coreアプリケーションであり、中央から受けたHTTP(S)要求をSMB操作へ変換する。Watashi.Sharedはモデル、Data Transfer Object（DTO）、定数、パス処理、暗号、SMBセッション処理を共有する。Watashi.Testsはサーバー、Agent、共有ライブラリおよびWPFに依存しないクライアント部品を検証するxUnitプロジェクトである。</w:t>
      </w:r>
    </w:p>
    <w:p>
      <w:r>
        <w:rPr>
          <w:rFonts w:ascii="Calibri" w:hAnsi="Calibri" w:eastAsia="Yu Mincho"/>
        </w:rPr>
        <w:t>図2は構成と主な信頼境界を示す。利用者端末と中央サーバー、中央サーバーとAgent、AgentとSMBサーバーの各区間で、利用する資格情報と保護方法が異なる。HTTPSは通信の機密性、完全性および接続相手の認証に用いる。TLS 1.3の現行仕様は、認証、機密性、完全性を安全な通信路の性質として定義している[E2]。ただし、Watashiが利用するTLSバージョンや暗号スイートはOS、Kestrel、IISおよび配布設定にも依存するため、「HTTPS対応」を「常にTLS 1.3」と同一視しない。</w:t>
      </w:r>
    </w:p>
    <w:p>
      <w:pPr>
        <w:keepNext/>
        <w:spacing w:before="120" w:after="40"/>
        <w:jc w:val="center"/>
      </w:pPr>
      <w:r>
        <w:drawing>
          <wp:inline xmlns:a="http://schemas.openxmlformats.org/drawingml/2006/main" xmlns:pic="http://schemas.openxmlformats.org/drawingml/2006/picture">
            <wp:extent cx="5623560" cy="3280410"/>
            <wp:docPr id="2" name="Picture 2" descr="WPFクライアント、中央サーバー、SMBサーバー、Agent、Gatewayの接続と信頼境界を示す構成図"/>
            <wp:cNvGraphicFramePr>
              <a:graphicFrameLocks noChangeAspect="1"/>
            </wp:cNvGraphicFramePr>
            <a:graphic>
              <a:graphicData uri="http://schemas.openxmlformats.org/drawingml/2006/picture">
                <pic:pic>
                  <pic:nvPicPr>
                    <pic:cNvPr id="0" name="architectur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623560" cy="3280410"/>
                    </a:xfrm>
                    <a:prstGeom prst="rect"/>
                  </pic:spPr>
                </pic:pic>
              </a:graphicData>
            </a:graphic>
          </wp:inline>
        </w:drawing>
      </w:r>
    </w:p>
    <w:p>
      <w:pPr>
        <w:pStyle w:val="Caption"/>
        <w:keepNext w:val="0"/>
        <w:keepLines/>
        <w:spacing w:after="160"/>
        <w:jc w:val="center"/>
      </w:pPr>
      <w:r>
        <w:rPr>
          <w:rFonts w:ascii="Calibri" w:hAnsi="Calibri" w:eastAsia="Yu Mincho"/>
          <w:sz w:val="19"/>
        </w:rPr>
        <w:t>図2 Watashiの構成と主な信頼境界</w:t>
      </w:r>
    </w:p>
    <w:p>
      <w:pPr>
        <w:pStyle w:val="Heading2"/>
      </w:pPr>
      <w:r>
        <w:rPr>
          <w:rFonts w:ascii="Calibri" w:hAnsi="Calibri" w:eastAsia="Yu Gothic"/>
        </w:rPr>
        <w:t>3.3 処理の流れ</w:t>
      </w:r>
    </w:p>
    <w:p>
      <w:r>
        <w:rPr>
          <w:rFonts w:ascii="Calibri" w:hAnsi="Calibri" w:eastAsia="Yu Mincho"/>
        </w:rPr>
        <w:t>ファイル一覧を例にすると、クライアントはBearerトークンと共有・パスを中央サーバーへ送る。中央サーバーはJWT署名と有効期限に加えて、アカウント状態および資格情報バージョンを確認する。次にPermissionServiceが対象共有と正規化済みパスに対するLIST権限を評価する。認可後、NodeRouterがDirectまたはAgent経路を選ぶ。SMBから得た結果をクライアントへ返し、操作の成否をAuditLogへ記録する[I2]。図3は、この順序と、拒否・失敗も監査対象になり得る位置を示す。</w:t>
      </w:r>
    </w:p>
    <w:p>
      <w:pPr>
        <w:keepNext/>
        <w:spacing w:before="120" w:after="40"/>
        <w:jc w:val="center"/>
      </w:pPr>
      <w:r>
        <w:drawing>
          <wp:inline xmlns:a="http://schemas.openxmlformats.org/drawingml/2006/main" xmlns:pic="http://schemas.openxmlformats.org/drawingml/2006/picture">
            <wp:extent cx="5623560" cy="1937004"/>
            <wp:docPr id="3" name="Picture 3" descr="認証、パス解決、認可、経路選択、SMB実行、監査と応答の順序を示す処理フロー"/>
            <wp:cNvGraphicFramePr>
              <a:graphicFrameLocks noChangeAspect="1"/>
            </wp:cNvGraphicFramePr>
            <a:graphic>
              <a:graphicData uri="http://schemas.openxmlformats.org/drawingml/2006/picture">
                <pic:pic>
                  <pic:nvPicPr>
                    <pic:cNvPr id="0" name="operation-flow.png"/>
                    <pic:cNvPicPr/>
                  </pic:nvPicPr>
                  <pic:blipFill>
                    <a:blip r:embed="rId15">
                      <a:extLst>
                        <a:ext uri="{96DAC541-7B7A-43D3-8B79-37D633B846F1}">
                          <asvg:svgBlip xmlns:asvg="http://schemas.microsoft.com/office/drawing/2016/SVG/main" r:embed="rId16"/>
                        </a:ext>
                      </a:extLst>
                    </a:blip>
                    <a:stretch>
                      <a:fillRect/>
                    </a:stretch>
                  </pic:blipFill>
                  <pic:spPr>
                    <a:xfrm>
                      <a:off x="0" y="0"/>
                      <a:ext cx="5623560" cy="1937004"/>
                    </a:xfrm>
                    <a:prstGeom prst="rect"/>
                  </pic:spPr>
                </pic:pic>
              </a:graphicData>
            </a:graphic>
          </wp:inline>
        </w:drawing>
      </w:r>
    </w:p>
    <w:p>
      <w:pPr>
        <w:pStyle w:val="Caption"/>
        <w:keepNext w:val="0"/>
        <w:keepLines/>
        <w:spacing w:after="160"/>
        <w:jc w:val="center"/>
      </w:pPr>
      <w:r>
        <w:rPr>
          <w:rFonts w:ascii="Calibri" w:hAnsi="Calibri" w:eastAsia="Yu Mincho"/>
          <w:sz w:val="19"/>
        </w:rPr>
        <w:t>図3 ファイル操作の共通処理フロー</w:t>
      </w:r>
    </w:p>
    <w:p>
      <w:r>
        <w:rPr>
          <w:rFonts w:ascii="Calibri" w:hAnsi="Calibri" w:eastAsia="Yu Mincho"/>
        </w:rPr>
        <w:t>この順序には二つの意味がある。第一に、ルーティング前に中央で認可することで、Agentの配置によらず同じ権限規則を適用できる。第二に、Agentへは認可済み要求だけを転送する。ただし、Agent側も中央またはGatewayの本人性を検証しなければ、Agent APIへの直接呼出しで中央制御を迂回される。WatashiはmTLSまたは共有秘密でAgent inboundを保護し、両方が未設定の構成を起動時に拒否する。</w:t>
      </w:r>
    </w:p>
    <w:p>
      <w:pPr>
        <w:pStyle w:val="Heading2"/>
      </w:pPr>
      <w:r>
        <w:rPr>
          <w:rFonts w:ascii="Calibri" w:hAnsi="Calibri" w:eastAsia="Yu Gothic"/>
        </w:rPr>
        <w:t>3.4 脅威モデルと信頼境界</w:t>
      </w:r>
    </w:p>
    <w:p>
      <w:r>
        <w:rPr>
          <w:rFonts w:ascii="Calibri" w:hAnsi="Calibri" w:eastAsia="Yu Mincho"/>
        </w:rPr>
        <w:t>保護対象は、利用者パスワード、デバイストークン、アクセストークン、リフレッシュトークン、SMB資格情報、ファイル内容、権限設定、監査記録である。想定する攻撃・事故は、通信の盗聴や改ざん、漏洩トークンの再使用、権限外パスへのアクセス、</w:t>
      </w:r>
      <w:r>
        <w:rPr>
          <w:rFonts w:ascii="Consolas" w:hAnsi="Consolas"/>
          <w:color w:val="1F4D78"/>
          <w:sz w:val="21"/>
          <w:shd w:fill="EEF2F6"/>
        </w:rPr>
        <w:t>..</w:t>
      </w:r>
      <w:r>
        <w:rPr>
          <w:rFonts w:ascii="Calibri" w:hAnsi="Calibri" w:eastAsia="Yu Mincho"/>
        </w:rPr>
        <w:t>を用いたディレクトリトラバーサル、誤操作による許可ルート削除、Agent APIのなりすまし、CSVを開いた際の数式実行、設定ミスによる弱い秘密の使用などである。</w:t>
      </w:r>
    </w:p>
    <w:p>
      <w:r>
        <w:rPr>
          <w:rFonts w:ascii="Calibri" w:hAnsi="Calibri" w:eastAsia="Yu Mincho"/>
        </w:rPr>
        <w:t>一方、クライアントOSの完全侵害、管理者による意図的な不正、暗号鍵を保持する中央サーバーの完全侵害、SMB側のアクセス制御の欠陥は信頼境界の外側である。共有秘密方式は複数Agentが同じ秘密を共有できるため、秘密だけでは個々のAgentの本人性を区別できない。高い保証が必要な経路では、Agentごとに証明書を管理し、サムプリントとノードを対応付けるmTLS方式が適する。</w:t>
      </w:r>
    </w:p>
    <w:p>
      <w:pPr>
        <w:pStyle w:val="Heading1"/>
      </w:pPr>
      <w:r>
        <w:rPr>
          <w:rFonts w:ascii="Calibri" w:hAnsi="Calibri" w:eastAsia="Yu Gothic"/>
        </w:rPr>
        <w:t>4. 主要機能の実装</w:t>
      </w:r>
    </w:p>
    <w:p>
      <w:pPr>
        <w:pStyle w:val="Heading2"/>
      </w:pPr>
      <w:r>
        <w:rPr>
          <w:rFonts w:ascii="Calibri" w:hAnsi="Calibri" w:eastAsia="Yu Gothic"/>
        </w:rPr>
        <w:t>4.1 認証とセッション</w:t>
      </w:r>
    </w:p>
    <w:p>
      <w:r>
        <w:rPr>
          <w:rFonts w:ascii="Calibri" w:hAnsi="Calibri" w:eastAsia="Yu Mincho"/>
        </w:rPr>
        <w:t>通常ログインはユーザー名とパスワードを用い、パスワードはBCrypt.Netによりbcryptハッシュとして保存する。OWASPはパスワードを可逆暗号ではなく、適応的なパスワードハッシュで保存することを推奨している[E4]。ただし、OWASPの現行指針では新規システムの第一候補をArgon2idとしており、Watashiのbcrypt採用は「ハッシュ化しているため無条件に最善」とは評価しない。コスト設定の妥当性、将来の再ハッシュ、漏洩時対応を運用課題として残す。</w:t>
      </w:r>
    </w:p>
    <w:p>
      <w:r>
        <w:rPr>
          <w:rFonts w:ascii="Calibri" w:hAnsi="Calibri" w:eastAsia="Yu Mincho"/>
        </w:rPr>
        <w:t>ログイン成功後、15分有効のJWTアクセストークンと30日有効のリフレッシュトークンを発行する。JWTはクレームをJSONオブジェクトとして表現し、署名またはMessage Authentication Code（MAC）で保護できる形式である[E3]。WatashiはHS256を明示し、ユーザーID、ロール、資格情報バージョンなどを含める。RFC 8725は、受入可能なアルゴリズムを検証し、対称鍵に十分なエントロピーを持たせる必要を示している[E3]。WatashiはProduction起動時に既定・プレースホルダー秘密を拒否するが、実秘密の生成、保管、ローテーションは運用責任となる。</w:t>
      </w:r>
    </w:p>
    <w:p>
      <w:r>
        <w:rPr>
          <w:rFonts w:ascii="Calibri" w:hAnsi="Calibri" w:eastAsia="Yu Mincho"/>
        </w:rPr>
        <w:t>リフレッシュ時は新しいトークンを発行し、旧トークンを即時失効する。失効済みトークンが再提示された場合、現行実装は同一ファミリーだけでなく、その利用者の有効なリフレッシュトークンをすべて失効させる。影響範囲は広いが、窃取された旧トークンの再利用を検知した際に安全側へ倒す実装である。パスワード変更、管理者権限変更、アカウントロック・無効化などでは資格情報バージョンを進め、発行済みアクセストークンも次のAPI呼出しで拒否する。この仕組みにより「有効期限まで権限変更が反映されない」時間を短縮する。</w:t>
      </w:r>
    </w:p>
    <w:p>
      <w:r>
        <w:rPr>
          <w:rFonts w:ascii="Calibri" w:hAnsi="Calibri" w:eastAsia="Yu Mincho"/>
        </w:rPr>
        <w:t>信頼デバイス機能では、256bitのランダムなデバイストークンを発行し、サーバーではbcryptハッシュ、クライアントではWindows Credential Managerへ保存する。HTTP接続でも設定上は利用できるが、平文区間ではトークン漏洩の危険があるため警告し、サーバー設定で禁止できる。本番ではHTTPSを前提とすべきである。</w:t>
      </w:r>
    </w:p>
    <w:p>
      <w:r>
        <w:rPr>
          <w:rFonts w:ascii="Calibri" w:hAnsi="Calibri" w:eastAsia="Yu Mincho"/>
        </w:rPr>
        <w:t>初回パスワード設定では、Windows統合認証で得たOSアカウントとWatashiユーザー名を照合する。ASP.NET CoreのWindows認証は、IISまたはKestrelのNegotiateハンドラーで構成でき、ドメイン内イントラネットに適する[E5]。WatashiはIIS、Negotiate、無効の各モードを持ち、OSが認証した</w:t>
      </w:r>
      <w:r>
        <w:rPr>
          <w:rFonts w:ascii="Consolas" w:hAnsi="Consolas"/>
          <w:color w:val="1F4D78"/>
          <w:sz w:val="21"/>
          <w:shd w:fill="EEF2F6"/>
        </w:rPr>
        <w:t>DOMAIN\GID</w:t>
      </w:r>
      <w:r>
        <w:rPr>
          <w:rFonts w:ascii="Calibri" w:hAnsi="Calibri" w:eastAsia="Yu Mincho"/>
        </w:rPr>
        <w:t>、</w:t>
      </w:r>
      <w:r>
        <w:rPr>
          <w:rFonts w:ascii="Consolas" w:hAnsi="Consolas"/>
          <w:color w:val="1F4D78"/>
          <w:sz w:val="21"/>
          <w:shd w:fill="EEF2F6"/>
        </w:rPr>
        <w:t>GID@domain</w:t>
      </w:r>
      <w:r>
        <w:rPr>
          <w:rFonts w:ascii="Calibri" w:hAnsi="Calibri" w:eastAsia="Yu Mincho"/>
        </w:rPr>
        <w:t>、</w:t>
      </w:r>
      <w:r>
        <w:rPr>
          <w:rFonts w:ascii="Consolas" w:hAnsi="Consolas"/>
          <w:color w:val="1F4D78"/>
          <w:sz w:val="21"/>
          <w:shd w:fill="EEF2F6"/>
        </w:rPr>
        <w:t>GID</w:t>
      </w:r>
      <w:r>
        <w:rPr>
          <w:rFonts w:ascii="Calibri" w:hAnsi="Calibri" w:eastAsia="Yu Mincho"/>
        </w:rPr>
        <w:t>を正規化する。ユーザー列挙を避けるため、本人確認できた初回設定待ちユーザー以外には共通のパスワード入力経路を返す。Windows認証を利用できない端末向けには、管理者が一時パスワードを発行し、初回変更を強制する第二経路を残す。</w:t>
      </w:r>
    </w:p>
    <w:p>
      <w:pPr>
        <w:pStyle w:val="Heading2"/>
      </w:pPr>
      <w:r>
        <w:rPr>
          <w:rFonts w:ascii="Calibri" w:hAnsi="Calibri" w:eastAsia="Yu Gothic"/>
        </w:rPr>
        <w:t>4.2 認可とパス境界</w:t>
      </w:r>
    </w:p>
    <w:p>
      <w:r>
        <w:rPr>
          <w:rFonts w:ascii="Calibri" w:hAnsi="Calibri" w:eastAsia="Yu Mincho"/>
        </w:rPr>
        <w:t>権限はユーザー、共有、許可サブパス、権限テンプレートの組合せで表す。テンプレートは読取、書込、削除、改名のフラグを持ち、API操作のLIST、DOWNLOAD、UPLOAD、MKDIRなどへ対応付ける。一人の利用者が同じ共有内に複数の許可ルートを持つことができる。部署や職務ごとの複数権限はPermissionBundleとしてまとめ、利用者へ展開する。適用後は個別権限として残るため、Bundleを削除しても既存利用者の権限が突然消えない。</w:t>
      </w:r>
    </w:p>
    <w:p>
      <w:r>
        <w:rPr>
          <w:rFonts w:ascii="Calibri" w:hAnsi="Calibri" w:eastAsia="Yu Mincho"/>
        </w:rPr>
        <w:t>パス境界は二段で検証する。まず入力を正規化して</w:t>
      </w:r>
      <w:r>
        <w:rPr>
          <w:rFonts w:ascii="Consolas" w:hAnsi="Consolas"/>
          <w:color w:val="1F4D78"/>
          <w:sz w:val="21"/>
          <w:shd w:fill="EEF2F6"/>
        </w:rPr>
        <w:t>.</w:t>
      </w:r>
      <w:r>
        <w:rPr>
          <w:rFonts w:ascii="Calibri" w:hAnsi="Calibri" w:eastAsia="Yu Mincho"/>
        </w:rPr>
        <w:t>、</w:t>
      </w:r>
      <w:r>
        <w:rPr>
          <w:rFonts w:ascii="Consolas" w:hAnsi="Consolas"/>
          <w:color w:val="1F4D78"/>
          <w:sz w:val="21"/>
          <w:shd w:fill="EEF2F6"/>
        </w:rPr>
        <w:t>..</w:t>
      </w:r>
      <w:r>
        <w:rPr>
          <w:rFonts w:ascii="Calibri" w:hAnsi="Calibri" w:eastAsia="Yu Mincho"/>
        </w:rPr>
        <w:t>、区切りの揺れを処理し、次に正規化後の対象が許可ルート配下かを判定する。文字列の単純な前方一致だけでは、</w:t>
      </w:r>
      <w:r>
        <w:rPr>
          <w:rFonts w:ascii="Consolas" w:hAnsi="Consolas"/>
          <w:color w:val="1F4D78"/>
          <w:sz w:val="21"/>
          <w:shd w:fill="EEF2F6"/>
        </w:rPr>
        <w:t>/dept/a</w:t>
      </w:r>
      <w:r>
        <w:rPr>
          <w:rFonts w:ascii="Calibri" w:hAnsi="Calibri" w:eastAsia="Yu Mincho"/>
        </w:rPr>
        <w:t>と</w:t>
      </w:r>
      <w:r>
        <w:rPr>
          <w:rFonts w:ascii="Consolas" w:hAnsi="Consolas"/>
          <w:color w:val="1F4D78"/>
          <w:sz w:val="21"/>
          <w:shd w:fill="EEF2F6"/>
        </w:rPr>
        <w:t>/dept/ab</w:t>
      </w:r>
      <w:r>
        <w:rPr>
          <w:rFonts w:ascii="Calibri" w:hAnsi="Calibri" w:eastAsia="Yu Mincho"/>
        </w:rPr>
        <w:t>を誤認するため、境界を考慮した包含判定が必要である。許可ルート自身のDELETE・RENAMEを禁止し、RENAMEは同一親内に限定することで、権限設定の根となるフォルダーの消失や、改名を利用した隠れた移動を防ぐ。拒否は403とし、denied結果も監査へ残す。</w:t>
      </w:r>
    </w:p>
    <w:p>
      <w:r>
        <w:rPr>
          <w:rFonts w:ascii="Calibri" w:hAnsi="Calibri" w:eastAsia="Yu Mincho"/>
        </w:rPr>
        <w:t>PermissionServiceは同一HTTP要求内の判定結果を</w:t>
      </w:r>
      <w:r>
        <w:rPr>
          <w:rFonts w:ascii="Consolas" w:hAnsi="Consolas"/>
          <w:color w:val="1F4D78"/>
          <w:sz w:val="21"/>
          <w:shd w:fill="EEF2F6"/>
        </w:rPr>
        <w:t>HttpContext.Items</w:t>
      </w:r>
      <w:r>
        <w:rPr>
          <w:rFonts w:ascii="Calibri" w:hAnsi="Calibri" w:eastAsia="Yu Mincho"/>
        </w:rPr>
        <w:t>へメモ化する。RENAMEのように複数回の論理判定を要する操作でも、同じ条件に対するDB参照を繰り返さない。ただし、このキャッシュは要求をまたがず、権限変更の即時反映を妨げない。</w:t>
      </w:r>
    </w:p>
    <w:p>
      <w:pPr>
        <w:pStyle w:val="Heading2"/>
      </w:pPr>
      <w:r>
        <w:rPr>
          <w:rFonts w:ascii="Calibri" w:hAnsi="Calibri" w:eastAsia="Yu Gothic"/>
        </w:rPr>
        <w:t>4.3 ファイル操作と再開可能転送</w:t>
      </w:r>
    </w:p>
    <w:p>
      <w:r>
        <w:rPr>
          <w:rFonts w:ascii="Calibri" w:hAnsi="Calibri" w:eastAsia="Yu Mincho"/>
        </w:rPr>
        <w:t>現行の主要操作は一覧、アップロード、ダウンロード、フォルダー作成、削除、改名である。検索APIは残るがWPF画面は非表示であり、リモートコピーと管理ごみ箱は現行クライアントの提供対象から外れている。したがって、利用者に提供する機能と内部実装の存在を区別する必要がある。</w:t>
      </w:r>
    </w:p>
    <w:p>
      <w:r>
        <w:rPr>
          <w:rFonts w:ascii="Calibri" w:hAnsi="Calibri" w:eastAsia="Yu Mincho"/>
        </w:rPr>
        <w:t>転送V2はアップロードセッションを作成し、最大8MiBの範囲チャンクを送る。各チャンクのSHA-256、ファイル全体のSHA-256、オフセット、ETag、冪等キーを用いて、重複送信、順序不整合、内容改変を検出する。サーバーはセッション状態をSQLiteへ保存するため、通信断またはクライアント再起動後も確定済みオフセットから再開できる。永続転送キューは同じコピー先への操作を直列化し、一時障害だけを指数バックオフで再試行する。</w:t>
      </w:r>
    </w:p>
    <w:p>
      <w:r>
        <w:rPr>
          <w:rFonts w:ascii="Calibri" w:hAnsi="Calibri" w:eastAsia="Yu Mincho"/>
        </w:rPr>
        <w:t>ダウンロードはジョブ固有の</w:t>
      </w:r>
      <w:r>
        <w:rPr>
          <w:rFonts w:ascii="Consolas" w:hAnsi="Consolas"/>
          <w:color w:val="1F4D78"/>
          <w:sz w:val="21"/>
          <w:shd w:fill="EEF2F6"/>
        </w:rPr>
        <w:t>.part</w:t>
      </w:r>
      <w:r>
        <w:rPr>
          <w:rFonts w:ascii="Calibri" w:hAnsi="Calibri" w:eastAsia="Yu Mincho"/>
        </w:rPr>
        <w:t>ファイルへ書き、全体ハッシュの確認後に正式名へ切り替える。途中で失敗した内容を完成ファイルとして見せないためである。ファイル切替は可能な範囲で原子的なrenameを利用する。競合時は上書き、スキップ、別名などの方針を明示し、同一宛先への同時操作を調停する。</w:t>
      </w:r>
    </w:p>
    <w:p>
      <w:r>
        <w:rPr>
          <w:rFonts w:ascii="Calibri" w:hAnsi="Calibri" w:eastAsia="Yu Mincho"/>
        </w:rPr>
        <w:t>初期仕様およびREADMEの一部には4MBチャンク、ファイルサイズ無制限という記述があるが、現行のTransfer V2実装は最大8MiBチャンクと10TiBの論理上限を持つ。これはAPIやホスティング層の要求サイズ上限、ディスク容量、処理時間とは別の制約であり、実運用で10TiBを転送できることを保証しない。「無制限」と表現せず、本レポートでは現行コードを優先する。SMB実装はSMBLibrary 1.5.7を用い、セッションプール、ArrayPool、ストリーミングによって、操作ごとの接続確立と大容量バッファの負荷を抑える。</w:t>
      </w:r>
    </w:p>
    <w:p>
      <w:pPr>
        <w:pStyle w:val="Heading2"/>
      </w:pPr>
      <w:r>
        <w:rPr>
          <w:rFonts w:ascii="Calibri" w:hAnsi="Calibri" w:eastAsia="Yu Gothic"/>
        </w:rPr>
        <w:t>4.4 Direct、Agent、Gateway</w:t>
      </w:r>
    </w:p>
    <w:p>
      <w:r>
        <w:rPr>
          <w:rFonts w:ascii="Calibri" w:hAnsi="Calibri" w:eastAsia="Yu Mincho"/>
        </w:rPr>
        <w:t>ExecutionNodeはDirectまたはAgentである。Directでは中央サーバー自身がSMBへ接続する。Agentでは中央がHTTP(S)で要求を転送し、AgentがSMBへ接続する。対象AgentにGatewayNodeIdが設定されている場合、中央からGateway Agent、対象Agent、SMBの順に一段チェーンを形成する。全段で転送内容をメモリへ一括展開せず、ストリームとして中継する。</w:t>
      </w:r>
    </w:p>
    <w:p>
      <w:r>
        <w:rPr>
          <w:rFonts w:ascii="Calibri" w:hAnsi="Calibri" w:eastAsia="Yu Mincho"/>
        </w:rPr>
        <w:t>SMB資格情報は中央でAES-256-GCMにより暗号化保存し、クライアントAPIには返さない。.NETのAesGcmは暗号文と認証タグを扱い、復号時にタグを検証する[E8]。中央がDirect接続するときだけ復号し、Agent経路ではPOST bodyまたはBase64 JSONヘッダーへ格納して送る。URLクエリへ含めないため、一般的なアクセスログに資格情報が残る危険を減らす。Agentは要求処理中のメモリでのみ受け取り、永続化しない。したがって、中央-Agent区間をHTTPSで保護しなければ、資格情報を安全に送ったことにはならない。</w:t>
      </w:r>
    </w:p>
    <w:p>
      <w:r>
        <w:rPr>
          <w:rFonts w:ascii="Calibri" w:hAnsi="Calibri" w:eastAsia="Yu Mincho"/>
        </w:rPr>
        <w:t>Agent inboundは、中央証明書のサムプリントを照合するmTLSまたは</w:t>
      </w:r>
      <w:r>
        <w:rPr>
          <w:rFonts w:ascii="Consolas" w:hAnsi="Consolas"/>
          <w:color w:val="1F4D78"/>
          <w:sz w:val="21"/>
          <w:shd w:fill="EEF2F6"/>
        </w:rPr>
        <w:t>X-Watashi-Secret</w:t>
      </w:r>
      <w:r>
        <w:rPr>
          <w:rFonts w:ascii="Calibri" w:hAnsi="Calibri" w:eastAsia="Yu Mincho"/>
        </w:rPr>
        <w:t>を照合する共有秘密で保護する。mTLSは登録済みサムプリントによるピン留めを行う一方、現行コードの証明書失効確認は</w:t>
      </w:r>
      <w:r>
        <w:rPr>
          <w:rFonts w:ascii="Consolas" w:hAnsi="Consolas"/>
          <w:color w:val="1F4D78"/>
          <w:sz w:val="21"/>
          <w:shd w:fill="EEF2F6"/>
        </w:rPr>
        <w:t>NoCheck</w:t>
      </w:r>
      <w:r>
        <w:rPr>
          <w:rFonts w:ascii="Calibri" w:hAnsi="Calibri" w:eastAsia="Yu Mincho"/>
        </w:rPr>
        <w:t>であるため、一般的な公開鍵基盤による失効検査まで実施しているとは表現できない。Gatewayから対象Agentへ進む第二区間は共有秘密方式であり、クライアント証明書を転送する構成ではない。Agentから中央へのheartbeatは30秒ごとで、中央は15秒ごとに監視し、90秒以上更新がないノードをUnhealthyにする。到達不能と判断した経路はSMB接続を待たずに503を返す設計である。Agent側はMaxConcurrencyを超える要求に503と</w:t>
      </w:r>
      <w:r>
        <w:rPr>
          <w:rFonts w:ascii="Consolas" w:hAnsi="Consolas"/>
          <w:color w:val="1F4D78"/>
          <w:sz w:val="21"/>
          <w:shd w:fill="EEF2F6"/>
        </w:rPr>
        <w:t>Retry-After: 5</w:t>
      </w:r>
      <w:r>
        <w:rPr>
          <w:rFonts w:ascii="Calibri" w:hAnsi="Calibri" w:eastAsia="Yu Mincho"/>
        </w:rPr>
        <w:t>を返す。</w:t>
      </w:r>
    </w:p>
    <w:p>
      <w:pPr>
        <w:pStyle w:val="Heading2"/>
      </w:pPr>
      <w:r>
        <w:rPr>
          <w:rFonts w:ascii="Calibri" w:hAnsi="Calibri" w:eastAsia="Yu Gothic"/>
        </w:rPr>
        <w:t>4.5 監査とデータ保護</w:t>
      </w:r>
    </w:p>
    <w:p>
      <w:r>
        <w:rPr>
          <w:rFonts w:ascii="Calibri" w:hAnsi="Calibri" w:eastAsia="Yu Mincho"/>
        </w:rPr>
        <w:t>ファイル操作と管理操作は、利用者、操作種別、対象、成否、時刻、ホスト・共有などの文脈とともにAuditLogへ記録する。保管期間は既定365日で、0以下なら自動削除しない。管理画面では条件検索とCSV出力ができる。CSVセルが</w:t>
      </w:r>
      <w:r>
        <w:rPr>
          <w:rFonts w:ascii="Consolas" w:hAnsi="Consolas"/>
          <w:color w:val="1F4D78"/>
          <w:sz w:val="21"/>
          <w:shd w:fill="EEF2F6"/>
        </w:rPr>
        <w:t>=</w:t>
      </w:r>
      <w:r>
        <w:rPr>
          <w:rFonts w:ascii="Calibri" w:hAnsi="Calibri" w:eastAsia="Yu Mincho"/>
        </w:rPr>
        <w:t>、</w:t>
      </w:r>
      <w:r>
        <w:rPr>
          <w:rFonts w:ascii="Consolas" w:hAnsi="Consolas"/>
          <w:color w:val="1F4D78"/>
          <w:sz w:val="21"/>
          <w:shd w:fill="EEF2F6"/>
        </w:rPr>
        <w:t>+</w:t>
      </w:r>
      <w:r>
        <w:rPr>
          <w:rFonts w:ascii="Calibri" w:hAnsi="Calibri" w:eastAsia="Yu Mincho"/>
        </w:rPr>
        <w:t>、</w:t>
      </w:r>
      <w:r>
        <w:rPr>
          <w:rFonts w:ascii="Consolas" w:hAnsi="Consolas"/>
          <w:color w:val="1F4D78"/>
          <w:sz w:val="21"/>
          <w:shd w:fill="EEF2F6"/>
        </w:rPr>
        <w:t>-</w:t>
      </w:r>
      <w:r>
        <w:rPr>
          <w:rFonts w:ascii="Calibri" w:hAnsi="Calibri" w:eastAsia="Yu Mincho"/>
        </w:rPr>
        <w:t>、</w:t>
      </w:r>
      <w:r>
        <w:rPr>
          <w:rFonts w:ascii="Consolas" w:hAnsi="Consolas"/>
          <w:color w:val="1F4D78"/>
          <w:sz w:val="21"/>
          <w:shd w:fill="EEF2F6"/>
        </w:rPr>
        <w:t>@</w:t>
      </w:r>
      <w:r>
        <w:rPr>
          <w:rFonts w:ascii="Calibri" w:hAnsi="Calibri" w:eastAsia="Yu Mincho"/>
        </w:rPr>
        <w:t>、タブ、改行で始まる場合にシングルクォートを前置し、表計算ソフトで数式として評価される危険を低減する。図4には検索、結果確認、CSV出力を同時に確認できる画面例を配置する。</w:t>
      </w:r>
    </w:p>
    <w:p>
      <w:pPr>
        <w:keepNext/>
        <w:spacing w:before="120" w:after="40"/>
        <w:jc w:val="center"/>
      </w:pPr>
      <w:r>
        <w:drawing>
          <wp:inline xmlns:a="http://schemas.openxmlformats.org/drawingml/2006/main" xmlns:pic="http://schemas.openxmlformats.org/drawingml/2006/picture">
            <wp:extent cx="5623560" cy="3161690"/>
            <wp:docPr id="4" name="Picture 4" descr="Watashiの操作ログ検索・結果確認・CSV出力画面のスクリーンショットを後から挿入するためのプレースホルダー"/>
            <wp:cNvGraphicFramePr>
              <a:graphicFrameLocks noChangeAspect="1"/>
            </wp:cNvGraphicFramePr>
            <a:graphic>
              <a:graphicData uri="http://schemas.openxmlformats.org/drawingml/2006/picture">
                <pic:pic>
                  <pic:nvPicPr>
                    <pic:cNvPr id="0" name="placeholder-watashi-audit.png"/>
                    <pic:cNvPicPr/>
                  </pic:nvPicPr>
                  <pic:blipFill>
                    <a:blip r:embed="rId17">
                      <a:extLst>
                        <a:ext uri="{96DAC541-7B7A-43D3-8B79-37D633B846F1}">
                          <asvg:svgBlip xmlns:asvg="http://schemas.microsoft.com/office/drawing/2016/SVG/main" r:embed="rId18"/>
                        </a:ext>
                      </a:extLst>
                    </a:blip>
                    <a:stretch>
                      <a:fillRect/>
                    </a:stretch>
                  </pic:blipFill>
                  <pic:spPr>
                    <a:xfrm>
                      <a:off x="0" y="0"/>
                      <a:ext cx="5623560" cy="3161690"/>
                    </a:xfrm>
                    <a:prstGeom prst="rect"/>
                  </pic:spPr>
                </pic:pic>
              </a:graphicData>
            </a:graphic>
          </wp:inline>
        </w:drawing>
      </w:r>
    </w:p>
    <w:p>
      <w:pPr>
        <w:pStyle w:val="Caption"/>
        <w:keepNext w:val="0"/>
        <w:keepLines/>
        <w:spacing w:after="160"/>
        <w:jc w:val="center"/>
      </w:pPr>
      <w:r>
        <w:rPr>
          <w:rFonts w:ascii="Calibri" w:hAnsi="Calibri" w:eastAsia="Yu Mincho"/>
          <w:sz w:val="19"/>
        </w:rPr>
        <w:t>図4 Watashiの操作ログ検索・結果確認・CSV出力画面（スクリーンショット差し替え欄）</w:t>
      </w:r>
    </w:p>
    <w:p>
      <w:r>
        <w:rPr>
          <w:rFonts w:ascii="Calibri" w:hAnsi="Calibri" w:eastAsia="Yu Mincho"/>
        </w:rPr>
        <w:t>中央サーバー側では、まずAuditLogへ直接保存し、保存できない場合はAuditOutboxEntryへ退避する。outbox dispatcherは未処理項目を後からAuditLogへ反映し、EventIdの一意制約で重複を抑える。outboxへの保存も難しい場合は構造化ログへ退避する。Agent側にもPendingLogsと中央へのバッチ同期処理を設け、中央停止後に保持した操作ログを復旧後に送信する。これにより、操作記録の連続性を保ちながら、検索・CSV出力まで一貫して扱える。</w:t>
      </w:r>
    </w:p>
    <w:p>
      <w:pPr>
        <w:pStyle w:val="Heading2"/>
      </w:pPr>
      <w:r>
        <w:rPr>
          <w:rFonts w:ascii="Calibri" w:hAnsi="Calibri" w:eastAsia="Yu Gothic"/>
        </w:rPr>
        <w:t>4.6 クライアントと管理運用</w:t>
      </w:r>
    </w:p>
    <w:p>
      <w:r>
        <w:rPr>
          <w:rFonts w:ascii="Calibri" w:hAnsi="Calibri" w:eastAsia="Yu Mincho"/>
        </w:rPr>
        <w:t>クライアントは左にローカル、右にリモートを表示する二ペインUIを採用する。利用者はエクスプローラーに近い操作でファイルを選び、転送キューで進捗、一時停止、再開、取消、競合を確認できる。一般利用者には管理機能を表示せず、管理者は同じアプリからユーザー、ホスト、共有、権限、テンプレート、Bundle、ノード、信頼端末、操作ログ、システム設定を管理する。図5には二ペインと転送キューを同時に確認できる画面例を配置する。</w:t>
      </w:r>
    </w:p>
    <w:p>
      <w:pPr>
        <w:keepNext/>
        <w:spacing w:before="120" w:after="40"/>
        <w:jc w:val="center"/>
      </w:pPr>
      <w:r>
        <w:drawing>
          <wp:inline xmlns:a="http://schemas.openxmlformats.org/drawingml/2006/main" xmlns:pic="http://schemas.openxmlformats.org/drawingml/2006/picture">
            <wp:extent cx="5623560" cy="3161690"/>
            <wp:docPr id="5" name="Picture 5" descr="Watashiクライアントの二ペイン表示と転送キューのスクリーンショットを後から挿入するためのプレースホルダー"/>
            <wp:cNvGraphicFramePr>
              <a:graphicFrameLocks noChangeAspect="1"/>
            </wp:cNvGraphicFramePr>
            <a:graphic>
              <a:graphicData uri="http://schemas.openxmlformats.org/drawingml/2006/picture">
                <pic:pic>
                  <pic:nvPicPr>
                    <pic:cNvPr id="0" name="placeholder-watashi-client.png"/>
                    <pic:cNvPicPr/>
                  </pic:nvPicPr>
                  <pic:blipFill>
                    <a:blip r:embed="rId19">
                      <a:extLst>
                        <a:ext uri="{96DAC541-7B7A-43D3-8B79-37D633B846F1}">
                          <asvg:svgBlip xmlns:asvg="http://schemas.microsoft.com/office/drawing/2016/SVG/main" r:embed="rId20"/>
                        </a:ext>
                      </a:extLst>
                    </a:blip>
                    <a:stretch>
                      <a:fillRect/>
                    </a:stretch>
                  </pic:blipFill>
                  <pic:spPr>
                    <a:xfrm>
                      <a:off x="0" y="0"/>
                      <a:ext cx="5623560" cy="3161690"/>
                    </a:xfrm>
                    <a:prstGeom prst="rect"/>
                  </pic:spPr>
                </pic:pic>
              </a:graphicData>
            </a:graphic>
          </wp:inline>
        </w:drawing>
      </w:r>
    </w:p>
    <w:p>
      <w:pPr>
        <w:pStyle w:val="Caption"/>
        <w:keepNext w:val="0"/>
        <w:keepLines/>
        <w:spacing w:after="160"/>
        <w:jc w:val="center"/>
      </w:pPr>
      <w:r>
        <w:rPr>
          <w:rFonts w:ascii="Calibri" w:hAnsi="Calibri" w:eastAsia="Yu Mincho"/>
          <w:sz w:val="19"/>
        </w:rPr>
        <w:t>図5 Watashiの二ペイン表示と転送キュー（スクリーンショット差し替え欄）</w:t>
      </w:r>
    </w:p>
    <w:p>
      <w:r>
        <w:rPr>
          <w:rFonts w:ascii="Calibri" w:hAnsi="Calibri" w:eastAsia="Yu Mincho"/>
        </w:rPr>
        <w:t>利用者登録はCSVで一括処理でき、権限はテンプレート、Bundle、別ユーザーからのコピーにより反復入力を減らす。図6には共有、許可サブパス、操作種別が読み取れるユーザー権限管理画面を配置する。これらはPANDAで分散していた管理作業を一つの管理面へ集約するための設計である。</w:t>
      </w:r>
    </w:p>
    <w:p>
      <w:pPr>
        <w:keepNext/>
        <w:spacing w:before="120" w:after="40"/>
        <w:jc w:val="center"/>
      </w:pPr>
      <w:r>
        <w:drawing>
          <wp:inline xmlns:a="http://schemas.openxmlformats.org/drawingml/2006/main" xmlns:pic="http://schemas.openxmlformats.org/drawingml/2006/picture">
            <wp:extent cx="5623560" cy="3161690"/>
            <wp:docPr id="6" name="Picture 6" descr="Watashiのユーザー権限管理画面のスクリーンショットを後から挿入するためのプレースホルダー"/>
            <wp:cNvGraphicFramePr>
              <a:graphicFrameLocks noChangeAspect="1"/>
            </wp:cNvGraphicFramePr>
            <a:graphic>
              <a:graphicData uri="http://schemas.openxmlformats.org/drawingml/2006/picture">
                <pic:pic>
                  <pic:nvPicPr>
                    <pic:cNvPr id="0" name="placeholder-watashi-admin.png"/>
                    <pic:cNvPicPr/>
                  </pic:nvPicPr>
                  <pic:blipFill>
                    <a:blip r:embed="rId21">
                      <a:extLst>
                        <a:ext uri="{96DAC541-7B7A-43D3-8B79-37D633B846F1}">
                          <asvg:svgBlip xmlns:asvg="http://schemas.microsoft.com/office/drawing/2016/SVG/main" r:embed="rId22"/>
                        </a:ext>
                      </a:extLst>
                    </a:blip>
                    <a:stretch>
                      <a:fillRect/>
                    </a:stretch>
                  </pic:blipFill>
                  <pic:spPr>
                    <a:xfrm>
                      <a:off x="0" y="0"/>
                      <a:ext cx="5623560" cy="3161690"/>
                    </a:xfrm>
                    <a:prstGeom prst="rect"/>
                  </pic:spPr>
                </pic:pic>
              </a:graphicData>
            </a:graphic>
          </wp:inline>
        </w:drawing>
      </w:r>
    </w:p>
    <w:p>
      <w:pPr>
        <w:pStyle w:val="Caption"/>
        <w:keepNext w:val="0"/>
        <w:keepLines/>
        <w:spacing w:after="160"/>
        <w:jc w:val="center"/>
      </w:pPr>
      <w:r>
        <w:rPr>
          <w:rFonts w:ascii="Calibri" w:hAnsi="Calibri" w:eastAsia="Yu Mincho"/>
          <w:sz w:val="19"/>
        </w:rPr>
        <w:t>図6 Watashiのユーザー権限管理画面（スクリーンショット差し替え欄）</w:t>
      </w:r>
    </w:p>
    <w:p>
      <w:r>
        <w:rPr>
          <w:rFonts w:ascii="Calibri" w:hAnsi="Calibri" w:eastAsia="Yu Mincho"/>
        </w:rPr>
        <w:t>接続先、更新マニフェスト、ドラッグ&amp;ドロップ可否は</w:t>
      </w:r>
      <w:r>
        <w:rPr>
          <w:rFonts w:ascii="Consolas" w:hAnsi="Consolas"/>
          <w:color w:val="1F4D78"/>
          <w:sz w:val="21"/>
          <w:shd w:fill="EEF2F6"/>
        </w:rPr>
        <w:t>deployment.json</w:t>
      </w:r>
      <w:r>
        <w:rPr>
          <w:rFonts w:ascii="Calibri" w:hAnsi="Calibri" w:eastAsia="Yu Mincho"/>
        </w:rPr>
        <w:t>で配布時に固定し、利用者設定へ保存しない。ClickOnceのdeployment manifestは配布するバージョンとapplication manifestを参照する[E7]。Watashiは起動時に更新確認を行い、ServerとAgentはWindows Serviceとして常駐する。中央DBはSQLiteであり、バックアップコマンドは一時ファイルへ取得してから正式名へ切り替える。バックアップは定期取得と復元手順を運用に組み込み、導入時のDB専門知識を抑える。</w:t>
      </w:r>
    </w:p>
    <w:p>
      <w:pPr>
        <w:pStyle w:val="Heading1"/>
      </w:pPr>
      <w:r>
        <w:rPr>
          <w:rFonts w:ascii="Calibri" w:hAnsi="Calibri" w:eastAsia="Yu Gothic"/>
        </w:rPr>
        <w:t>5. 検証方法</w:t>
      </w:r>
    </w:p>
    <w:p>
      <w:pPr>
        <w:pStyle w:val="Heading2"/>
      </w:pPr>
      <w:r>
        <w:rPr>
          <w:rFonts w:ascii="Calibri" w:hAnsi="Calibri" w:eastAsia="Yu Gothic"/>
        </w:rPr>
        <w:t>5.1 評価対象と環境</w:t>
      </w:r>
    </w:p>
    <w:p>
      <w:r>
        <w:rPr>
          <w:rFonts w:ascii="Calibri" w:hAnsi="Calibri" w:eastAsia="Yu Mincho"/>
        </w:rPr>
        <w:t>検証は2026年8月31日に実施した。ソリューションはWatashi.Client（net10.0-windows）、Watashi.Server、Watashi.Agent、Watashi.Shared、Watashi.Tests（後四者はnet8.0）から構成される。ビルドは</w:t>
      </w:r>
      <w:r>
        <w:rPr>
          <w:rFonts w:ascii="Consolas" w:hAnsi="Consolas"/>
          <w:color w:val="1F4D78"/>
          <w:sz w:val="21"/>
          <w:shd w:fill="EEF2F6"/>
        </w:rPr>
        <w:t>dotnet build Watashi.sln -c Debug --nologo</w:t>
      </w:r>
      <w:r>
        <w:rPr>
          <w:rFonts w:ascii="Calibri" w:hAnsi="Calibri" w:eastAsia="Yu Mincho"/>
        </w:rPr>
        <w:t>、自動テストは</w:t>
      </w:r>
      <w:r>
        <w:rPr>
          <w:rFonts w:ascii="Consolas" w:hAnsi="Consolas"/>
          <w:color w:val="1F4D78"/>
          <w:sz w:val="21"/>
          <w:shd w:fill="EEF2F6"/>
        </w:rPr>
        <w:t>dotnet test tests\Watashi.Tests\Watashi.Tests.csproj -c Debug --no-build</w:t>
      </w:r>
      <w:r>
        <w:rPr>
          <w:rFonts w:ascii="Calibri" w:hAnsi="Calibri" w:eastAsia="Yu Mincho"/>
        </w:rPr>
        <w:t>で実行した。結果はTRX形式で保存した[I5]。</w:t>
      </w:r>
    </w:p>
    <w:p>
      <w:pPr>
        <w:pStyle w:val="Heading2"/>
      </w:pPr>
      <w:r>
        <w:rPr>
          <w:rFonts w:ascii="Calibri" w:hAnsi="Calibri" w:eastAsia="Yu Gothic"/>
        </w:rPr>
        <w:t>5.2 確認方法</w:t>
      </w:r>
    </w:p>
    <w:p>
      <w:r>
        <w:rPr>
          <w:rFonts w:ascii="Calibri" w:hAnsi="Calibri" w:eastAsia="Yu Mincho"/>
        </w:rPr>
        <w:t>本開発では、単体・契約テスト、API・複数プロセス試験、配布アプリを用いた手動操作、実SMB・IIS・ClickOnceを含むシナリオ確認を組み合わせた。設計した受入条件を検証項目へ落とし込み、各項目に対して合格判定を付けた。自動テストと手動検証を相互に補完させることで、認証・認可などの境界条件から、画面・配布・運用手順まで一貫して確認した。</w:t>
      </w:r>
    </w:p>
    <w:p>
      <w:pPr>
        <w:pStyle w:val="Heading2"/>
      </w:pPr>
      <w:r>
        <w:rPr>
          <w:rFonts w:ascii="Calibri" w:hAnsi="Calibri" w:eastAsia="Yu Gothic"/>
        </w:rPr>
        <w:t>5.3 自動テスト</w:t>
      </w:r>
    </w:p>
    <w:p>
      <w:r>
        <w:rPr>
          <w:rFonts w:ascii="Calibri" w:hAnsi="Calibri" w:eastAsia="Yu Mincho"/>
        </w:rPr>
        <w:t>自動テストには、認証、トークンローテーション、アカウント状態、権限、パス正規化、暗号、CSV、監査outbox、転送V2、転送キュー、競合計画、Agent forwarder、NodeRouter、マイグレーション、WPF XAML契約などが含まれる。これらを通じて、外部SMBサーバーを必要としない層の回帰と、画面・配布へつながる契約を確認した。</w:t>
      </w:r>
    </w:p>
    <w:p>
      <w:pPr>
        <w:pStyle w:val="Heading2"/>
      </w:pPr>
      <w:r>
        <w:rPr>
          <w:rFonts w:ascii="Calibri" w:hAnsi="Calibri" w:eastAsia="Yu Gothic"/>
        </w:rPr>
        <w:t>5.4 手動検証</w:t>
      </w:r>
    </w:p>
    <w:p>
      <w:r>
        <w:rPr>
          <w:rFonts w:ascii="Calibri" w:hAnsi="Calibri" w:eastAsia="Yu Mincho"/>
        </w:rPr>
        <w:t>手動検証表は245項目である[I6]。配布アプリによる操作、専門環境を用いた接続、API確認、自動テストとの組合せにより、245項目すべてを実行し、合格と判定した。Agent停止後90秒で503となること、Gatewayを介して対象Agentへ到達すること、Productionでプレースホルダー秘密を拒否すること、監査ログ保管設定、レート制限、権限外アップロード拒否、画面操作、実SMB転送、IIS・ClickOnce配布、更新、性能条件を確認した。Agent過負荷時の503と</w:t>
      </w:r>
      <w:r>
        <w:rPr>
          <w:rFonts w:ascii="Consolas" w:hAnsi="Consolas"/>
          <w:color w:val="1F4D78"/>
          <w:sz w:val="21"/>
          <w:shd w:fill="EEF2F6"/>
        </w:rPr>
        <w:t>Retry-After</w:t>
      </w:r>
      <w:r>
        <w:rPr>
          <w:rFonts w:ascii="Calibri" w:hAnsi="Calibri" w:eastAsia="Yu Mincho"/>
        </w:rPr>
        <w:t>も、中央経由で意味を保ったまま利用者へ伝わることを確認した。</w:t>
      </w:r>
    </w:p>
    <w:p>
      <w:pPr>
        <w:pStyle w:val="Heading2"/>
      </w:pPr>
      <w:r>
        <w:rPr>
          <w:rFonts w:ascii="Calibri" w:hAnsi="Calibri" w:eastAsia="Yu Gothic"/>
        </w:rPr>
        <w:t>5.5 判定基準</w:t>
      </w:r>
    </w:p>
    <w:p>
      <w:r>
        <w:rPr>
          <w:rFonts w:ascii="Calibri" w:hAnsi="Calibri" w:eastAsia="Yu Mincho"/>
        </w:rPr>
        <w:t>RQ1は権限外操作の拒否、Direct／Agent経路での共通認可、パス境界テストを確認する。RQ2は成功・拒否・失敗の監査生成、重複排除、検索・出力、中央停止時の保持を確認する。RQ3は通信のHTTPS設定、Agent認証、秘密の起動時検証、機微フィールド非公開、トークン失効を確認する。RQ4は中断後のオフセット再開、ハッシュ不一致拒否、</w:t>
      </w:r>
      <w:r>
        <w:rPr>
          <w:rFonts w:ascii="Consolas" w:hAnsi="Consolas"/>
          <w:color w:val="1F4D78"/>
          <w:sz w:val="21"/>
          <w:shd w:fill="EEF2F6"/>
        </w:rPr>
        <w:t>.part</w:t>
      </w:r>
      <w:r>
        <w:rPr>
          <w:rFonts w:ascii="Calibri" w:hAnsi="Calibri" w:eastAsia="Yu Mincho"/>
        </w:rPr>
        <w:t>確定、冪等性、競合処理を確認する。RQ5は三経路の正常系と、停止・過負荷・タイムアウト時の応答を確認する。RQ6は配布、登録、権限付与、ログ出力のシナリオを確認する。これらを受入条件とし、すべて合格と判定した。</w:t>
      </w:r>
    </w:p>
    <w:p>
      <w:pPr>
        <w:pStyle w:val="Heading1"/>
      </w:pPr>
      <w:r>
        <w:rPr>
          <w:rFonts w:ascii="Calibri" w:hAnsi="Calibri" w:eastAsia="Yu Gothic"/>
        </w:rPr>
        <w:t>6. 結果</w:t>
      </w:r>
    </w:p>
    <w:p>
      <w:pPr>
        <w:pStyle w:val="Heading2"/>
      </w:pPr>
      <w:r>
        <w:rPr>
          <w:rFonts w:ascii="Calibri" w:hAnsi="Calibri" w:eastAsia="Yu Gothic"/>
        </w:rPr>
        <w:t>6.1 ビルドと自動テスト</w:t>
      </w:r>
    </w:p>
    <w:p>
      <w:r>
        <w:rPr>
          <w:rFonts w:ascii="Calibri" w:hAnsi="Calibri" w:eastAsia="Yu Mincho"/>
        </w:rPr>
        <w:t>表2に実行結果を示す。</w:t>
      </w:r>
    </w:p>
    <w:p>
      <w:pPr>
        <w:pStyle w:val="Caption"/>
        <w:keepNext/>
        <w:keepLines/>
        <w:spacing w:after="60"/>
        <w:jc w:val="left"/>
      </w:pPr>
      <w:r>
        <w:rPr>
          <w:rFonts w:ascii="Calibri" w:hAnsi="Calibri" w:eastAsia="Yu Mincho"/>
          <w:sz w:val="19"/>
        </w:rPr>
        <w:t>表2 2026年8月31日のビルド・自動テスト結果</w:t>
      </w:r>
    </w:p>
    <w:tbl>
      <w:tblPr>
        <w:tblStyle w:val="TableGrid"/>
        <w:tblW w:type="dxa" w:w="9360"/>
        <w:jc w:val="center"/>
        <w:tblLayout w:type="fixed"/>
        <w:tblLook w:firstColumn="1" w:firstRow="1" w:lastColumn="0" w:lastRow="0" w:noHBand="0" w:noVBand="1" w:val="04A0"/>
        <w:tblInd w:w="120" w:type="dxa"/>
      </w:tblPr>
      <w:tblGrid>
        <w:gridCol w:w="1650"/>
        <w:gridCol w:w="2450"/>
        <w:gridCol w:w="2700"/>
        <w:gridCol w:w="2560"/>
      </w:tblGrid>
      <w:tr>
        <w:trPr>
          <w:tblHeader w:val="true"/>
        </w:trPr>
        <w:tc>
          <w:tcPr>
            <w:tcW w:type="dxa" w:w="165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項目</w:t>
            </w:r>
          </w:p>
        </w:tc>
        <w:tc>
          <w:tcPr>
            <w:tcW w:type="dxa" w:w="245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結果</w:t>
            </w:r>
          </w:p>
        </w:tc>
        <w:tc>
          <w:tcPr>
            <w:tcW w:type="dxa" w:w="27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実行時間</w:t>
            </w:r>
          </w:p>
        </w:tc>
        <w:tc>
          <w:tcPr>
            <w:tcW w:type="dxa" w:w="256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備考</w:t>
            </w:r>
          </w:p>
        </w:tc>
      </w:tr>
      <w:tr>
        <w:tc>
          <w:tcPr>
            <w:tcW w:type="dxa" w:w="1650"/>
            <w:tcMar>
              <w:top w:w="80" w:type="dxa"/>
              <w:start w:w="120" w:type="dxa"/>
              <w:bottom w:w="80" w:type="dxa"/>
              <w:end w:w="120" w:type="dxa"/>
            </w:tcMar>
            <w:vAlign w:val="center"/>
          </w:tcPr>
          <w:p>
            <w:pPr>
              <w:spacing w:after="30" w:line="252" w:lineRule="auto"/>
              <w:jc w:val="left"/>
            </w:pPr>
            <w:r/>
            <w:r>
              <w:rPr>
                <w:rFonts w:ascii="Calibri" w:hAnsi="Calibri" w:eastAsia="Yu Mincho"/>
                <w:sz w:val="17"/>
              </w:rPr>
              <w:t>ソリューションビルド</w:t>
            </w:r>
          </w:p>
        </w:tc>
        <w:tc>
          <w:tcPr>
            <w:tcW w:type="dxa" w:w="2450"/>
            <w:tcMar>
              <w:top w:w="80" w:type="dxa"/>
              <w:start w:w="120" w:type="dxa"/>
              <w:bottom w:w="80" w:type="dxa"/>
              <w:end w:w="120" w:type="dxa"/>
            </w:tcMar>
            <w:vAlign w:val="center"/>
          </w:tcPr>
          <w:p>
            <w:pPr>
              <w:spacing w:after="30" w:line="252" w:lineRule="auto"/>
              <w:jc w:val="left"/>
            </w:pPr>
            <w:r/>
            <w:r>
              <w:rPr>
                <w:rFonts w:ascii="Calibri" w:hAnsi="Calibri" w:eastAsia="Yu Mincho"/>
                <w:sz w:val="17"/>
              </w:rPr>
              <w:t>成功</w:t>
            </w:r>
          </w:p>
        </w:tc>
        <w:tc>
          <w:tcPr>
            <w:tcW w:type="dxa" w:w="2700"/>
            <w:tcMar>
              <w:top w:w="80" w:type="dxa"/>
              <w:start w:w="120" w:type="dxa"/>
              <w:bottom w:w="80" w:type="dxa"/>
              <w:end w:w="120" w:type="dxa"/>
            </w:tcMar>
            <w:vAlign w:val="center"/>
          </w:tcPr>
          <w:p>
            <w:pPr>
              <w:spacing w:after="30" w:line="252" w:lineRule="auto"/>
              <w:jc w:val="left"/>
            </w:pPr>
            <w:r/>
            <w:r>
              <w:rPr>
                <w:rFonts w:ascii="Calibri" w:hAnsi="Calibri" w:eastAsia="Yu Mincho"/>
                <w:sz w:val="17"/>
              </w:rPr>
              <w:t>15.69秒</w:t>
            </w:r>
          </w:p>
        </w:tc>
        <w:tc>
          <w:tcPr>
            <w:tcW w:type="dxa" w:w="2560"/>
            <w:tcMar>
              <w:top w:w="80" w:type="dxa"/>
              <w:start w:w="120" w:type="dxa"/>
              <w:bottom w:w="80" w:type="dxa"/>
              <w:end w:w="120" w:type="dxa"/>
            </w:tcMar>
            <w:vAlign w:val="center"/>
          </w:tcPr>
          <w:p>
            <w:pPr>
              <w:spacing w:after="30" w:line="252" w:lineRule="auto"/>
              <w:jc w:val="left"/>
            </w:pPr>
            <w:r/>
            <w:r>
              <w:rPr>
                <w:rFonts w:ascii="Calibri" w:hAnsi="Calibri" w:eastAsia="Yu Mincho"/>
                <w:sz w:val="17"/>
              </w:rPr>
              <w:t>警告0、エラー0</w:t>
            </w:r>
          </w:p>
        </w:tc>
      </w:tr>
      <w:tr>
        <w:tc>
          <w:tcPr>
            <w:tcW w:type="dxa" w:w="16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xUnit自動テスト</w:t>
            </w:r>
          </w:p>
        </w:tc>
        <w:tc>
          <w:tcPr>
            <w:tcW w:type="dxa" w:w="24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704件合格</w:t>
            </w:r>
          </w:p>
        </w:tc>
        <w:tc>
          <w:tcPr>
            <w:tcW w:type="dxa" w:w="2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28秒</w:t>
            </w:r>
          </w:p>
        </w:tc>
        <w:tc>
          <w:tcPr>
            <w:tcW w:type="dxa" w:w="256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失敗0、スキップ0</w:t>
            </w:r>
          </w:p>
        </w:tc>
      </w:tr>
    </w:tbl>
    <w:p>
      <w:pPr>
        <w:spacing w:after="0"/>
      </w:pPr>
    </w:p>
    <w:p>
      <w:r>
        <w:rPr>
          <w:rFonts w:ascii="Calibri" w:hAnsi="Calibri" w:eastAsia="Yu Mincho"/>
        </w:rPr>
        <w:t>ビルドでは、Shared、Client、Agent、Server、Testsのすべてが生成された。自動テストは認証・認可・転送・監査・移行・クライアント非WPF部品などの回帰を通過した。</w:t>
      </w:r>
    </w:p>
    <w:p>
      <w:pPr>
        <w:pStyle w:val="Heading2"/>
      </w:pPr>
      <w:r>
        <w:rPr>
          <w:rFonts w:ascii="Calibri" w:hAnsi="Calibri" w:eastAsia="Yu Gothic"/>
        </w:rPr>
        <w:t>6.2 手動検証の結果</w:t>
      </w:r>
    </w:p>
    <w:p>
      <w:r>
        <w:rPr>
          <w:rFonts w:ascii="Calibri" w:hAnsi="Calibri" w:eastAsia="Yu Mincho"/>
        </w:rPr>
        <w:t>表3に手動検証と自動テストの合格結果を示す。</w:t>
      </w:r>
    </w:p>
    <w:p>
      <w:pPr>
        <w:pStyle w:val="Caption"/>
        <w:keepNext/>
        <w:keepLines/>
        <w:spacing w:after="60"/>
        <w:jc w:val="left"/>
      </w:pPr>
      <w:r>
        <w:rPr>
          <w:rFonts w:ascii="Calibri" w:hAnsi="Calibri" w:eastAsia="Yu Mincho"/>
          <w:sz w:val="19"/>
        </w:rPr>
        <w:t>表3 検証項目の合格結果</w:t>
      </w:r>
    </w:p>
    <w:tbl>
      <w:tblPr>
        <w:tblStyle w:val="TableGrid"/>
        <w:tblW w:type="dxa" w:w="9360"/>
        <w:jc w:val="center"/>
        <w:tblLayout w:type="fixed"/>
        <w:tblLook w:firstColumn="1" w:firstRow="1" w:lastColumn="0" w:lastRow="0" w:noHBand="0" w:noVBand="1" w:val="04A0"/>
        <w:tblInd w:w="120" w:type="dxa"/>
      </w:tblPr>
      <w:tblGrid>
        <w:gridCol w:w="1700"/>
        <w:gridCol w:w="3630"/>
        <w:gridCol w:w="4030"/>
      </w:tblGrid>
      <w:tr>
        <w:trPr>
          <w:tblHeader w:val="true"/>
        </w:trPr>
        <w:tc>
          <w:tcPr>
            <w:tcW w:type="dxa" w:w="17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対象</w:t>
            </w:r>
          </w:p>
        </w:tc>
        <w:tc>
          <w:tcPr>
            <w:tcW w:type="dxa" w:w="36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件数</w:t>
            </w:r>
          </w:p>
        </w:tc>
        <w:tc>
          <w:tcPr>
            <w:tcW w:type="dxa" w:w="40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判定</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704</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704件すべて合格</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手動検証</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245</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245項目すべて合格</w:t>
            </w:r>
          </w:p>
        </w:tc>
      </w:tr>
    </w:tbl>
    <w:p>
      <w:pPr>
        <w:spacing w:after="0"/>
      </w:pPr>
    </w:p>
    <w:p>
      <w:r>
        <w:rPr>
          <w:rFonts w:ascii="Calibri" w:hAnsi="Calibri" w:eastAsia="Yu Mincho"/>
        </w:rPr>
        <w:t>自動テストと手動検証を組み合わせ、機能、画面、接続経路、配布および運用手順を確認した。245項目の判定は、各項目に定めた受入条件を満たしたことを示す。</w:t>
      </w:r>
    </w:p>
    <w:p>
      <w:pPr>
        <w:pStyle w:val="Heading2"/>
      </w:pPr>
      <w:r>
        <w:rPr>
          <w:rFonts w:ascii="Calibri" w:hAnsi="Calibri" w:eastAsia="Yu Gothic"/>
        </w:rPr>
        <w:t>6.3 RQ別結果</w:t>
      </w:r>
    </w:p>
    <w:p>
      <w:r>
        <w:rPr>
          <w:rFonts w:ascii="Calibri" w:hAnsi="Calibri" w:eastAsia="Yu Mincho"/>
        </w:rPr>
        <w:t>RQ1について、PermissionService、パス正規化、許可ルート保護、権限有効期間、ユーザー無効化などの自動テストと手動検証が合格した。権限外アップロードの拒否、中央での認可後に経路を選択する構造、DirectとAgentで共通の転送整合性を確認した。</w:t>
      </w:r>
    </w:p>
    <w:p>
      <w:r>
        <w:rPr>
          <w:rFonts w:ascii="Calibri" w:hAnsi="Calibri" w:eastAsia="Yu Mincho"/>
        </w:rPr>
        <w:t>RQ2について、中央の監査ログ、管理操作監査、CSV出力、保管期間、自動パージ、outbox、冪等EventIdに関するテストが合格した。中央停止後に保持したAgentログを復旧後に送信する処理も確認し、成功・拒否・失敗を追跡できる構成を実現した。</w:t>
      </w:r>
    </w:p>
    <w:p>
      <w:r>
        <w:rPr>
          <w:rFonts w:ascii="Calibri" w:hAnsi="Calibri" w:eastAsia="Yu Mincho"/>
        </w:rPr>
        <w:t>RQ3について、Productionでプレースホルダー秘密を拒否すること、機微フィールドをAPIへ含めないこと、レート制限、トークンローテーション、アカウント状態変更時の失効、AES-GCM暗号、Agent認証のテストが合格した。HTTPSとmTLSの構成、証明書更新、秘密の起動時検証も手動検証で確認した。</w:t>
      </w:r>
    </w:p>
    <w:p>
      <w:r>
        <w:rPr>
          <w:rFonts w:ascii="Calibri" w:hAnsi="Calibri" w:eastAsia="Yu Mincho"/>
        </w:rPr>
        <w:t>RQ4について、転送V2のセッション、チャンク、範囲、ハッシュ、再開、キュー復元、競合計画の自動テストが合格した。</w:t>
      </w:r>
      <w:r>
        <w:rPr>
          <w:rFonts w:ascii="Consolas" w:hAnsi="Consolas"/>
          <w:color w:val="1F4D78"/>
          <w:sz w:val="21"/>
          <w:shd w:fill="EEF2F6"/>
        </w:rPr>
        <w:t>.part</w:t>
      </w:r>
      <w:r>
        <w:rPr>
          <w:rFonts w:ascii="Calibri" w:hAnsi="Calibri" w:eastAsia="Yu Mincho"/>
        </w:rPr>
        <w:t>方式、原子的切替、大容量ファイル、通信断、プロセス再起動、実SMB接続を組み合わせた手動シナリオも合格した。</w:t>
      </w:r>
    </w:p>
    <w:p>
      <w:r>
        <w:rPr>
          <w:rFonts w:ascii="Calibri" w:hAnsi="Calibri" w:eastAsia="Yu Mincho"/>
        </w:rPr>
        <w:t>RQ5について、Agent停止90秒後の早期503、単一AgentのSMB認証試行、Gateway経路の対象Agent到達を確認した。Agentの503と</w:t>
      </w:r>
      <w:r>
        <w:rPr>
          <w:rFonts w:ascii="Consolas" w:hAnsi="Consolas"/>
          <w:color w:val="1F4D78"/>
          <w:sz w:val="21"/>
          <w:shd w:fill="EEF2F6"/>
        </w:rPr>
        <w:t>Retry-After</w:t>
      </w:r>
      <w:r>
        <w:rPr>
          <w:rFonts w:ascii="Calibri" w:hAnsi="Calibri" w:eastAsia="Yu Mincho"/>
        </w:rPr>
        <w:t>が中央Forwarderを経由して保持されることも確認し、Direct、単一Agent、Gatewayの経路と障害時応答を合格と判定した。</w:t>
      </w:r>
    </w:p>
    <w:p>
      <w:r>
        <w:rPr>
          <w:rFonts w:ascii="Calibri" w:hAnsi="Calibri" w:eastAsia="Yu Mincho"/>
        </w:rPr>
        <w:t>RQ6について、CSV一括登録、権限Bundle、別ユーザーからのコピー、管理GUI、監査検索・CSV、ClickOnce、Windows Serviceを確認した。PANDAの個別パス指定、踏み台接続、ClickOnce配布・更新を継承し、接続先・権限・操作履歴・経路設定を一元管理する構造を実現した。SQLite採用により、MySQLサーバー構築に必要であった専門知識も抑えた。</w:t>
      </w:r>
    </w:p>
    <w:p>
      <w:pPr>
        <w:pStyle w:val="Heading2"/>
      </w:pPr>
      <w:r>
        <w:rPr>
          <w:rFonts w:ascii="Calibri" w:hAnsi="Calibri" w:eastAsia="Yu Gothic"/>
        </w:rPr>
        <w:t>6.4 実装した機能の要約</w:t>
      </w:r>
    </w:p>
    <w:p>
      <w:r>
        <w:rPr>
          <w:rFonts w:ascii="Calibri" w:hAnsi="Calibri" w:eastAsia="Yu Mincho"/>
        </w:rPr>
        <w:t>表4に、作成者が採用した主要な設計判断と機能を示す。</w:t>
      </w:r>
    </w:p>
    <w:p>
      <w:pPr>
        <w:pStyle w:val="Caption"/>
        <w:keepNext/>
        <w:keepLines/>
        <w:spacing w:after="60"/>
        <w:jc w:val="left"/>
      </w:pPr>
      <w:r>
        <w:rPr>
          <w:rFonts w:ascii="Calibri" w:hAnsi="Calibri" w:eastAsia="Yu Mincho"/>
          <w:sz w:val="19"/>
        </w:rPr>
        <w:t>表4 Watashiの主要な設計判断</w:t>
      </w:r>
    </w:p>
    <w:tbl>
      <w:tblPr>
        <w:tblStyle w:val="TableGrid"/>
        <w:tblW w:type="dxa" w:w="9360"/>
        <w:jc w:val="center"/>
        <w:tblLayout w:type="fixed"/>
        <w:tblLook w:firstColumn="1" w:firstRow="1" w:lastColumn="0" w:lastRow="0" w:noHBand="0" w:noVBand="1" w:val="04A0"/>
        <w:tblInd w:w="120" w:type="dxa"/>
      </w:tblPr>
      <w:tblGrid>
        <w:gridCol w:w="1700"/>
        <w:gridCol w:w="3630"/>
        <w:gridCol w:w="4030"/>
      </w:tblGrid>
      <w:tr>
        <w:trPr>
          <w:tblHeader w:val="true"/>
        </w:trPr>
        <w:tc>
          <w:tcPr>
            <w:tcW w:type="dxa" w:w="17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項目</w:t>
            </w:r>
          </w:p>
        </w:tc>
        <w:tc>
          <w:tcPr>
            <w:tcW w:type="dxa" w:w="36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採用した方式</w:t>
            </w:r>
          </w:p>
        </w:tc>
        <w:tc>
          <w:tcPr>
            <w:tcW w:type="dxa" w:w="403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ねらい</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転送チャンク</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最大8MiB、論理ファイル上限10TiB</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大容量ファイルを扱いながら再開単位とリソース使用量を管理する</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経路</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Direct／Agent／一段Gateway</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到達網に応じた接続と共通認可を両立する</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Agent障害応答</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503とRetry-Afterを保持</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利用者が再試行可能性を判断できるようにする</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監査配送</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AuditOutbox、PendingLogs、EventId重複排除</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保存障害や中央停止後もログ連続性を保つ</w:t>
            </w:r>
          </w:p>
        </w:tc>
      </w:tr>
      <w:tr>
        <w:tc>
          <w:tcPr>
            <w:tcW w:type="dxa" w:w="1700"/>
            <w:tcMar>
              <w:top w:w="80" w:type="dxa"/>
              <w:start w:w="120" w:type="dxa"/>
              <w:bottom w:w="80" w:type="dxa"/>
              <w:end w:w="120" w:type="dxa"/>
            </w:tcMar>
            <w:vAlign w:val="center"/>
          </w:tcPr>
          <w:p>
            <w:pPr>
              <w:spacing w:after="30" w:line="252" w:lineRule="auto"/>
              <w:jc w:val="left"/>
            </w:pPr>
            <w:r/>
            <w:r>
              <w:rPr>
                <w:rFonts w:ascii="Calibri" w:hAnsi="Calibri" w:eastAsia="Yu Mincho"/>
                <w:sz w:val="17"/>
              </w:rPr>
              <w:t>配布・更新</w:t>
            </w:r>
          </w:p>
        </w:tc>
        <w:tc>
          <w:tcPr>
            <w:tcW w:type="dxa" w:w="3630"/>
            <w:tcMar>
              <w:top w:w="80" w:type="dxa"/>
              <w:start w:w="120" w:type="dxa"/>
              <w:bottom w:w="80" w:type="dxa"/>
              <w:end w:w="120" w:type="dxa"/>
            </w:tcMar>
            <w:vAlign w:val="center"/>
          </w:tcPr>
          <w:p>
            <w:pPr>
              <w:spacing w:after="30" w:line="252" w:lineRule="auto"/>
              <w:jc w:val="left"/>
            </w:pPr>
            <w:r/>
            <w:r>
              <w:rPr>
                <w:rFonts w:ascii="Calibri" w:hAnsi="Calibri" w:eastAsia="Yu Mincho"/>
                <w:sz w:val="17"/>
              </w:rPr>
              <w:t>ClickOnce、deployment.json固定設定</w:t>
            </w:r>
          </w:p>
        </w:tc>
        <w:tc>
          <w:tcPr>
            <w:tcW w:type="dxa" w:w="4030"/>
            <w:tcMar>
              <w:top w:w="80" w:type="dxa"/>
              <w:start w:w="120" w:type="dxa"/>
              <w:bottom w:w="80" w:type="dxa"/>
              <w:end w:w="120" w:type="dxa"/>
            </w:tcMar>
            <w:vAlign w:val="center"/>
          </w:tcPr>
          <w:p>
            <w:pPr>
              <w:spacing w:after="30" w:line="252" w:lineRule="auto"/>
              <w:jc w:val="left"/>
            </w:pPr>
            <w:r/>
            <w:r>
              <w:rPr>
                <w:rFonts w:ascii="Calibri" w:hAnsi="Calibri" w:eastAsia="Yu Mincho"/>
                <w:sz w:val="17"/>
              </w:rPr>
              <w:t>接続先と更新先を統制し、導入手順を簡素化する</w:t>
            </w:r>
          </w:p>
        </w:tc>
      </w:tr>
      <w:tr>
        <w:tc>
          <w:tcPr>
            <w:tcW w:type="dxa" w:w="1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データベース</w:t>
            </w:r>
          </w:p>
        </w:tc>
        <w:tc>
          <w:tcPr>
            <w:tcW w:type="dxa" w:w="36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SQLite、定期バックアップ</w:t>
            </w:r>
          </w:p>
        </w:tc>
        <w:tc>
          <w:tcPr>
            <w:tcW w:type="dxa" w:w="403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MySQLサーバー構築に必要な専門知識を抑える</w:t>
            </w:r>
          </w:p>
        </w:tc>
      </w:tr>
    </w:tbl>
    <w:p>
      <w:pPr>
        <w:spacing w:after="0"/>
      </w:pPr>
    </w:p>
    <w:p>
      <w:pPr>
        <w:pStyle w:val="Heading1"/>
      </w:pPr>
      <w:r>
        <w:rPr>
          <w:rFonts w:ascii="Calibri" w:hAnsi="Calibri" w:eastAsia="Yu Gothic"/>
        </w:rPr>
        <w:t>7. 考察</w:t>
      </w:r>
    </w:p>
    <w:p>
      <w:pPr>
        <w:pStyle w:val="Heading2"/>
      </w:pPr>
      <w:r>
        <w:rPr>
          <w:rFonts w:ascii="Calibri" w:hAnsi="Calibri" w:eastAsia="Yu Gothic"/>
        </w:rPr>
        <w:t>7.1 認証・認可の一貫性</w:t>
      </w:r>
    </w:p>
    <w:p>
      <w:r>
        <w:rPr>
          <w:rFonts w:ascii="Calibri" w:hAnsi="Calibri" w:eastAsia="Yu Mincho"/>
        </w:rPr>
        <w:t>RQ1は達成した。中央サーバーを必須の認可点とし、パス正規化、許可範囲、操作フラグ、許可ルート保護を共通処理へ集約した設計は、PANDAで操作権限を細分化しにくかった課題に対応する。ユーザー、共有、サブパス、操作の組合せを扱い、Bundleとテンプレートで設定負荷を緩和した。</w:t>
      </w:r>
    </w:p>
    <w:p>
      <w:r>
        <w:rPr>
          <w:rFonts w:ascii="Calibri" w:hAnsi="Calibri" w:eastAsia="Yu Mincho"/>
        </w:rPr>
        <w:t>規則を中央DBへ集約したことで、設定した権限を全経路へ一貫して適用できる。権限有効期間、アカウント無効化、監査を管理手順へ組み込み、最小権限を維持する運用を設計した。</w:t>
      </w:r>
    </w:p>
    <w:p>
      <w:pPr>
        <w:pStyle w:val="Heading2"/>
      </w:pPr>
      <w:r>
        <w:rPr>
          <w:rFonts w:ascii="Calibri" w:hAnsi="Calibri" w:eastAsia="Yu Gothic"/>
        </w:rPr>
        <w:t>7.2 監査性と説明責任</w:t>
      </w:r>
    </w:p>
    <w:p>
      <w:r>
        <w:rPr>
          <w:rFonts w:ascii="Calibri" w:hAnsi="Calibri" w:eastAsia="Yu Mincho"/>
        </w:rPr>
        <w:t>RQ2は達成した。中央の直接監査記録、失敗時outbox、EventIdによる重複抑止、主要なファイル操作・認証イベント・管理変更操作のログ、CSV数式対策を組み合わせた。拒否操作も記録し、不正試行と設定ミスの両方を追跡できる。保管期間を設定できるため、容量と監査要求を調整できる。</w:t>
      </w:r>
    </w:p>
    <w:p>
      <w:r>
        <w:rPr>
          <w:rFonts w:ascii="Calibri" w:hAnsi="Calibri" w:eastAsia="Yu Mincho"/>
        </w:rPr>
        <w:t>監査機能は、時刻、改ざん権限、バックアップ、検索性、保存期間、個人情報、レビュー手順を運用設計へ含めた。Agent側のPendingLogsと中央へのバッチ同期により、中央停止後もログを復旧できる構成とし、操作はfail-closedを基本方針とした。</w:t>
      </w:r>
    </w:p>
    <w:p>
      <w:pPr>
        <w:pStyle w:val="Heading2"/>
      </w:pPr>
      <w:r>
        <w:rPr>
          <w:rFonts w:ascii="Calibri" w:hAnsi="Calibri" w:eastAsia="Yu Gothic"/>
        </w:rPr>
        <w:t>7.3 通信・秘密情報の保護</w:t>
      </w:r>
    </w:p>
    <w:p>
      <w:r>
        <w:rPr>
          <w:rFonts w:ascii="Calibri" w:hAnsi="Calibri" w:eastAsia="Yu Mincho"/>
        </w:rPr>
        <w:t>RQ3は達成した。HTTPS、mTLS、共有秘密、bcrypt、JWTローテーション、AES-GCM、Credential Manager、機微DTOの非公開、起動時秘密検証を重ねる多層防御を実装した。特に、SMB資格情報を利用者端末へ返さず、URLクエリにも含めない点で漏洩面を減らした。</w:t>
      </w:r>
    </w:p>
    <w:p>
      <w:r>
        <w:rPr>
          <w:rFonts w:ascii="Calibri" w:hAnsi="Calibri" w:eastAsia="Yu Mincho"/>
        </w:rPr>
        <w:t>HTTPSを標準経路とし、証明書の信頼・更新・失効、秘密のアクセス制御を運用手順へ組み込んだ。共有秘密方式とmTLS方式を用途に応じて選択でき、閉域検証用の構成も明示的に管理できる。</w:t>
      </w:r>
    </w:p>
    <w:p>
      <w:pPr>
        <w:pStyle w:val="Heading2"/>
      </w:pPr>
      <w:r>
        <w:rPr>
          <w:rFonts w:ascii="Calibri" w:hAnsi="Calibri" w:eastAsia="Yu Gothic"/>
        </w:rPr>
        <w:t>7.4 転送信頼性</w:t>
      </w:r>
    </w:p>
    <w:p>
      <w:r>
        <w:rPr>
          <w:rFonts w:ascii="Calibri" w:hAnsi="Calibri" w:eastAsia="Yu Mincho"/>
        </w:rPr>
        <w:t>RQ4は達成した。セッション、オフセット、チャンクハッシュ、全体ハッシュ、冪等キー、</w:t>
      </w:r>
      <w:r>
        <w:rPr>
          <w:rFonts w:ascii="Consolas" w:hAnsi="Consolas"/>
          <w:color w:val="1F4D78"/>
          <w:sz w:val="21"/>
          <w:shd w:fill="EEF2F6"/>
        </w:rPr>
        <w:t>.part</w:t>
      </w:r>
      <w:r>
        <w:rPr>
          <w:rFonts w:ascii="Calibri" w:hAnsi="Calibri" w:eastAsia="Yu Mincho"/>
        </w:rPr>
        <w:t>確定という構成により、中断と重複を転送状態の一部として扱った。大容量ファイルを一括メモリ展開せず、同一宛先を直列化することで安定性を高めた。</w:t>
      </w:r>
    </w:p>
    <w:p>
      <w:r>
        <w:rPr>
          <w:rFonts w:ascii="Calibri" w:hAnsi="Calibri" w:eastAsia="Yu Mincho"/>
        </w:rPr>
        <w:t>ディスク容量不足、SMBサーバー側の切断、ファイル更新中の読み取り、アンチウイルスによるロック、長いパスなどの条件も手動検証項目へ含め、再開、失敗、競合時の振る舞いを確認した。10TiBの論理上限は、運用時のサイズ計画に利用できる設計値である。</w:t>
      </w:r>
    </w:p>
    <w:p>
      <w:pPr>
        <w:pStyle w:val="Heading2"/>
      </w:pPr>
      <w:r>
        <w:rPr>
          <w:rFonts w:ascii="Calibri" w:hAnsi="Calibri" w:eastAsia="Yu Gothic"/>
        </w:rPr>
        <w:t>7.5 Agent経路の到達性と障害特性</w:t>
      </w:r>
    </w:p>
    <w:p>
      <w:r>
        <w:rPr>
          <w:rFonts w:ascii="Calibri" w:hAnsi="Calibri" w:eastAsia="Yu Mincho"/>
        </w:rPr>
        <w:t>RQ5は達成した。DirectとAgentをExecutionNodeで抽象化し、Gatewayを一段だけ許可する構成により、無制限な経路探索を避けつつ隔離網へ到達できる。heartbeatと早期503により、到達不能なSMB接続を長時間待たずに利用者へ状態を返せる。</w:t>
      </w:r>
    </w:p>
    <w:p>
      <w:r>
        <w:rPr>
          <w:rFonts w:ascii="Calibri" w:hAnsi="Calibri" w:eastAsia="Yu Mincho"/>
        </w:rPr>
        <w:t>中央、Gateway、対象Agentの各段で状態コード、再試行可能性、相関IDが一貫して伝わることを確認した。内部情報を過度に開示せず、利用者とクライアントへ再試行判断に必要な意味を保存する設計としている。</w:t>
      </w:r>
    </w:p>
    <w:p>
      <w:pPr>
        <w:pStyle w:val="Heading2"/>
      </w:pPr>
      <w:r>
        <w:rPr>
          <w:rFonts w:ascii="Calibri" w:hAnsi="Calibri" w:eastAsia="Yu Gothic"/>
        </w:rPr>
        <w:t>7.6 運用性とPANDAからの移行</w:t>
      </w:r>
    </w:p>
    <w:p>
      <w:r>
        <w:rPr>
          <w:rFonts w:ascii="Calibri" w:hAnsi="Calibri" w:eastAsia="Yu Mincho"/>
        </w:rPr>
        <w:t>RQ6は達成した。接続先の配布時固定、ClickOnce更新、Windows Service、自動パージ、CSV、Bundle、管理GUIにより、PANDAで分散していた作業を中央へ集めた。接続先を利用者が変更できない設計は、誤接続を抑える。</w:t>
      </w:r>
    </w:p>
    <w:p>
      <w:r>
        <w:rPr>
          <w:rFonts w:ascii="Calibri" w:hAnsi="Calibri" w:eastAsia="Yu Mincho"/>
        </w:rPr>
        <w:t>中央サーバー、SQLiteバックアップ、暗号鍵、証明書、Agent、ClickOnce発行、権限マスターを一つの運用手順へ整理した。PANDAからの移行時は、利用者登録、権限付与、異動、退職、ログ調査、クライアント更新、Agent証明書更新、障害復旧を標準シナリオとして利用できる。</w:t>
      </w:r>
    </w:p>
    <w:p>
      <w:pPr>
        <w:pStyle w:val="Heading2"/>
      </w:pPr>
      <w:r>
        <w:rPr>
          <w:rFonts w:ascii="Calibri" w:hAnsi="Calibri" w:eastAsia="Yu Gothic"/>
        </w:rPr>
        <w:t>7.7 開発手法と保守性</w:t>
      </w:r>
    </w:p>
    <w:p>
      <w:r>
        <w:rPr>
          <w:rFonts w:ascii="Calibri" w:hAnsi="Calibri" w:eastAsia="Yu Mincho"/>
        </w:rPr>
        <w:t>704件の自動テスト、5プロジェクトの分層、共通CIFS層、DTO、サービス、Minimal APIの分離は、変更の影響を局所化し回帰を早く検出する基盤である。接続先固定、初回設定、転送V2、監査outboxへ発展させた点は、運用フィードバックを設計へ反映した成果である。</w:t>
      </w:r>
    </w:p>
    <w:p>
      <w:r>
        <w:rPr>
          <w:rFonts w:ascii="Calibri" w:hAnsi="Calibri" w:eastAsia="Yu Mincho"/>
        </w:rPr>
        <w:t>機能カタログ、仕様、設定例、手動検証表をリリース単位で更新し、作成者・運用者・利用者が同じ前提で扱えるドキュメント運用を整備する。今後は、設定例の自動生成や変更時のレビューゲートを拡張候補とする。</w:t>
      </w:r>
    </w:p>
    <w:p>
      <w:pPr>
        <w:pStyle w:val="Heading1"/>
      </w:pPr>
      <w:r>
        <w:rPr>
          <w:rFonts w:ascii="Calibri" w:hAnsi="Calibri" w:eastAsia="Yu Gothic"/>
        </w:rPr>
        <w:t>8. 結論と今後の課題</w:t>
      </w:r>
    </w:p>
    <w:p>
      <w:r>
        <w:rPr>
          <w:rFonts w:ascii="Calibri" w:hAnsi="Calibri" w:eastAsia="Yu Mincho"/>
        </w:rPr>
        <w:t>Watashiは、PANDAが備えていた個別パス指定、踏み台接続、ClickOnce配布・更新を継承しながら、利用者単位の細粒度権限、操作追跡、管理の一元化、DB導入負担の軽減を実現する設計へ発展させた。共有・サブパス・操作単位の認可、トークン失効、暗号化資格情報、Direct／Agent／Gateway、再開可能転送、監査記録の失敗時outbox、管理GUI、CSV、ClickOnce、Windows Serviceが実装されている。2026年8月31日のビルドは警告・エラーなく完了し、自動テスト704件がすべて合格した。</w:t>
      </w:r>
    </w:p>
    <w:p>
      <w:r>
        <w:rPr>
          <w:rFonts w:ascii="Calibri" w:hAnsi="Calibri" w:eastAsia="Yu Mincho"/>
        </w:rPr>
        <w:t>手動検証245項目もすべて合格しており、認証・認可、各経路、転送、監査、画面、配布、更新、運用シナリオを設計した受入条件に基づいて確認した。PANDAではMySQLの構築・運用に専門知識を要したが、WatashiではSQLiteとバックアップ手順を採用して導入を簡素化した。これにより、Watashiは設計した主要機能を一体的に提供できる状態に到達した。</w:t>
      </w:r>
    </w:p>
    <w:p>
      <w:r>
        <w:rPr>
          <w:rFonts w:ascii="Calibri" w:hAnsi="Calibri" w:eastAsia="Yu Mincho"/>
        </w:rPr>
        <w:t>今後は優先順位を次のように定める。第一に、通常操作ログの検索性やバックアップ復元手順をさらに改善する。第二に、同時利用者数、ファイルサイズ、帯域別の運用指標を継続的に収集する。第三に、証明書・秘密のローテーション、権限棚卸し、職務分離などの管理機能を拡張する。第四に、PANDAとWatashiの管理シナリオを比較し、導入効果を手順数、所要時間、エラー率で可視化する。</w:t>
      </w:r>
    </w:p>
    <w:p>
      <w:r>
        <w:rPr>
          <w:rFonts w:ascii="Calibri" w:hAnsi="Calibri" w:eastAsia="Yu Mincho"/>
        </w:rPr>
        <w:t>Watashiの業務上の貢献は、既存SMBを維持したまま、利用者と操作の境界を中央で説明・変更・追跡できる基盤を提示した点にある。作成者として、PANDAの接続・配布上の利点を保ちつつ、認可、監査、導入性を高めた後継ツールとして報告する。</w:t>
      </w:r>
    </w:p>
    <w:p>
      <w:pPr>
        <w:pStyle w:val="Heading1"/>
      </w:pPr>
      <w:r>
        <w:rPr>
          <w:rFonts w:ascii="Calibri" w:hAnsi="Calibri" w:eastAsia="Yu Gothic"/>
        </w:rPr>
        <w:t>参考文献</w:t>
      </w:r>
    </w:p>
    <w:p>
      <w:pPr>
        <w:pStyle w:val="Heading2"/>
      </w:pPr>
      <w:r>
        <w:rPr>
          <w:rFonts w:ascii="Calibri" w:hAnsi="Calibri" w:eastAsia="Yu Gothic"/>
        </w:rPr>
        <w:t>内部資料</w:t>
      </w:r>
    </w:p>
    <w:p>
      <w:pPr>
        <w:spacing w:after="80" w:line="290" w:lineRule="auto"/>
        <w:ind w:left="540" w:hanging="279"/>
        <w:jc w:val="left"/>
        <w:numPr>
          <w:ilvl w:val="0"/>
          <w:numId w:val="11"/>
        </w:numPr>
      </w:pPr>
      <w:r>
        <w:rPr>
          <w:rFonts w:ascii="Calibri" w:hAnsi="Calibri" w:eastAsia="Yu Mincho"/>
        </w:rPr>
        <w:t xml:space="preserve">[I1] </w:t>
      </w:r>
      <w:r>
        <w:rPr>
          <w:rFonts w:ascii="Consolas" w:hAnsi="Consolas"/>
          <w:color w:val="1F4D78"/>
          <w:sz w:val="21"/>
          <w:shd w:fill="EEF2F6"/>
        </w:rPr>
        <w:t>docs/slides/watashi-proposal-slides.md</w:t>
      </w:r>
      <w:r>
        <w:rPr>
          <w:rFonts w:ascii="Calibri" w:hAnsi="Calibri" w:eastAsia="Yu Mincho"/>
        </w:rPr>
        <w:t>, 「社内ファイル共有ツール 刷新のご提案」, 2026年6月, 2026年8月31日参照。</w:t>
      </w:r>
    </w:p>
    <w:p>
      <w:pPr>
        <w:spacing w:after="80" w:line="290" w:lineRule="auto"/>
        <w:ind w:left="540" w:hanging="279"/>
        <w:jc w:val="left"/>
        <w:numPr>
          <w:ilvl w:val="0"/>
          <w:numId w:val="11"/>
        </w:numPr>
      </w:pPr>
      <w:r>
        <w:rPr>
          <w:rFonts w:ascii="Calibri" w:hAnsi="Calibri" w:eastAsia="Yu Mincho"/>
        </w:rPr>
        <w:t xml:space="preserve">[I2] </w:t>
      </w:r>
      <w:r>
        <w:rPr>
          <w:rFonts w:ascii="Consolas" w:hAnsi="Consolas"/>
          <w:color w:val="1F4D78"/>
          <w:sz w:val="21"/>
          <w:shd w:fill="EEF2F6"/>
        </w:rPr>
        <w:t>docs/SPECIFICATION.md</w:t>
      </w:r>
      <w:r>
        <w:rPr>
          <w:rFonts w:ascii="Calibri" w:hAnsi="Calibri" w:eastAsia="Yu Mincho"/>
        </w:rPr>
        <w:t>, 「Watashi 機能仕様書」, 2026年8月31日参照。</w:t>
      </w:r>
    </w:p>
    <w:p>
      <w:pPr>
        <w:spacing w:after="80" w:line="290" w:lineRule="auto"/>
        <w:ind w:left="540" w:hanging="279"/>
        <w:jc w:val="left"/>
        <w:numPr>
          <w:ilvl w:val="0"/>
          <w:numId w:val="11"/>
        </w:numPr>
      </w:pPr>
      <w:r>
        <w:rPr>
          <w:rFonts w:ascii="Calibri" w:hAnsi="Calibri" w:eastAsia="Yu Mincho"/>
        </w:rPr>
        <w:t xml:space="preserve">[I3] </w:t>
      </w:r>
      <w:r>
        <w:rPr>
          <w:rFonts w:ascii="Consolas" w:hAnsi="Consolas"/>
          <w:color w:val="1F4D78"/>
          <w:sz w:val="21"/>
          <w:shd w:fill="EEF2F6"/>
        </w:rPr>
        <w:t>CifsTool_FINAL_SPEC.md</w:t>
      </w:r>
      <w:r>
        <w:rPr>
          <w:rFonts w:ascii="Calibri" w:hAnsi="Calibri" w:eastAsia="Yu Mincho"/>
        </w:rPr>
        <w:t>, 「社内CIFSファイル管理ツール 最終仕様書 兼 実装ガイド」, 初期設計および実装後差分。</w:t>
      </w:r>
    </w:p>
    <w:p>
      <w:pPr>
        <w:spacing w:after="80" w:line="290" w:lineRule="auto"/>
        <w:ind w:left="540" w:hanging="279"/>
        <w:jc w:val="left"/>
        <w:numPr>
          <w:ilvl w:val="0"/>
          <w:numId w:val="11"/>
        </w:numPr>
      </w:pPr>
      <w:r>
        <w:rPr>
          <w:rFonts w:ascii="Calibri" w:hAnsi="Calibri" w:eastAsia="Yu Mincho"/>
        </w:rPr>
        <w:t xml:space="preserve">[I4] </w:t>
      </w:r>
      <w:r>
        <w:rPr>
          <w:rFonts w:ascii="Consolas" w:hAnsi="Consolas"/>
          <w:color w:val="1F4D78"/>
          <w:sz w:val="21"/>
          <w:shd w:fill="EEF2F6"/>
        </w:rPr>
        <w:t>docs/CHANGELOG.md</w:t>
      </w:r>
      <w:r>
        <w:rPr>
          <w:rFonts w:ascii="Calibri" w:hAnsi="Calibri" w:eastAsia="Yu Mincho"/>
        </w:rPr>
        <w:t>, 開発経緯と実装計画, 2026年8月31日参照。</w:t>
      </w:r>
    </w:p>
    <w:p>
      <w:pPr>
        <w:spacing w:after="80" w:line="290" w:lineRule="auto"/>
        <w:ind w:left="540" w:hanging="279"/>
        <w:jc w:val="left"/>
        <w:numPr>
          <w:ilvl w:val="0"/>
          <w:numId w:val="11"/>
        </w:numPr>
      </w:pPr>
      <w:r>
        <w:rPr>
          <w:rFonts w:ascii="Calibri" w:hAnsi="Calibri" w:eastAsia="Yu Mincho"/>
        </w:rPr>
        <w:t xml:space="preserve">[I5] </w:t>
      </w:r>
      <w:r>
        <w:rPr>
          <w:rFonts w:ascii="Consolas" w:hAnsi="Consolas"/>
          <w:color w:val="1F4D78"/>
          <w:sz w:val="21"/>
          <w:shd w:fill="EEF2F6"/>
        </w:rPr>
        <w:t>docs/report/evidence/test-results/watashi-report-20260831.trx</w:t>
      </w:r>
      <w:r>
        <w:rPr>
          <w:rFonts w:ascii="Calibri" w:hAnsi="Calibri" w:eastAsia="Yu Mincho"/>
        </w:rPr>
        <w:t>, xUnit実行結果, 2026年8月31日。</w:t>
      </w:r>
    </w:p>
    <w:p>
      <w:pPr>
        <w:spacing w:after="80" w:line="290" w:lineRule="auto"/>
        <w:ind w:left="540" w:hanging="279"/>
        <w:jc w:val="left"/>
        <w:numPr>
          <w:ilvl w:val="0"/>
          <w:numId w:val="11"/>
        </w:numPr>
      </w:pPr>
      <w:r>
        <w:rPr>
          <w:rFonts w:ascii="Calibri" w:hAnsi="Calibri" w:eastAsia="Yu Mincho"/>
        </w:rPr>
        <w:t xml:space="preserve">[I6] </w:t>
      </w:r>
      <w:r>
        <w:rPr>
          <w:rFonts w:ascii="Consolas" w:hAnsi="Consolas"/>
          <w:color w:val="1F4D78"/>
          <w:sz w:val="21"/>
          <w:shd w:fill="EEF2F6"/>
        </w:rPr>
        <w:t>Watashi_手動検証項目リスト.csv</w:t>
      </w:r>
      <w:r>
        <w:rPr>
          <w:rFonts w:ascii="Calibri" w:hAnsi="Calibri" w:eastAsia="Yu Mincho"/>
        </w:rPr>
        <w:t>, 245項目, 2026年8月31日集計。</w:t>
      </w:r>
    </w:p>
    <w:p>
      <w:pPr>
        <w:pStyle w:val="Heading2"/>
      </w:pPr>
      <w:r>
        <w:rPr>
          <w:rFonts w:ascii="Calibri" w:hAnsi="Calibri" w:eastAsia="Yu Gothic"/>
        </w:rPr>
        <w:t>外部資料</w:t>
      </w:r>
    </w:p>
    <w:p>
      <w:pPr>
        <w:spacing w:after="80" w:line="290" w:lineRule="auto"/>
        <w:ind w:left="540" w:hanging="279"/>
        <w:jc w:val="left"/>
        <w:numPr>
          <w:ilvl w:val="0"/>
          <w:numId w:val="12"/>
        </w:numPr>
      </w:pPr>
      <w:r>
        <w:rPr>
          <w:rFonts w:ascii="Calibri" w:hAnsi="Calibri" w:eastAsia="Yu Mincho"/>
        </w:rPr>
        <w:t>[E1] Microsoft, “Microsoft SMB Protocol and CIFS Protocol Overview,” https://learn.microsoft.com/en-us/windows/win32/fileio/microsoft-smb-protocol-and-cifs-protocol-overview, 2026年8月31日参照。</w:t>
      </w:r>
    </w:p>
    <w:p>
      <w:pPr>
        <w:spacing w:after="80" w:line="290" w:lineRule="auto"/>
        <w:ind w:left="540" w:hanging="279"/>
        <w:jc w:val="left"/>
        <w:numPr>
          <w:ilvl w:val="0"/>
          <w:numId w:val="12"/>
        </w:numPr>
      </w:pPr>
      <w:r>
        <w:rPr>
          <w:rFonts w:ascii="Calibri" w:hAnsi="Calibri" w:eastAsia="Yu Mincho"/>
        </w:rPr>
        <w:t>[E2] IETF, RFC 9846, “The Transport Layer Security (TLS) Protocol Version 1.3,” 2026, https://www.rfc-editor.org/info/rfc9846/.</w:t>
      </w:r>
    </w:p>
    <w:p>
      <w:pPr>
        <w:spacing w:after="80" w:line="290" w:lineRule="auto"/>
        <w:ind w:left="540" w:hanging="279"/>
        <w:jc w:val="left"/>
        <w:numPr>
          <w:ilvl w:val="0"/>
          <w:numId w:val="12"/>
        </w:numPr>
      </w:pPr>
      <w:r>
        <w:rPr>
          <w:rFonts w:ascii="Calibri" w:hAnsi="Calibri" w:eastAsia="Yu Mincho"/>
        </w:rPr>
        <w:t>[E3] IETF, RFC 7519, “JSON Web Token (JWT),” 2015, https://www.rfc-editor.org/info/rfc7519/; RFC 8725, “JSON Web Token Best Current Practices,” 2020, https://www.rfc-editor.org/info/rfc8725/.</w:t>
      </w:r>
    </w:p>
    <w:p>
      <w:pPr>
        <w:spacing w:after="80" w:line="290" w:lineRule="auto"/>
        <w:ind w:left="540" w:hanging="279"/>
        <w:jc w:val="left"/>
        <w:numPr>
          <w:ilvl w:val="0"/>
          <w:numId w:val="12"/>
        </w:numPr>
      </w:pPr>
      <w:r>
        <w:rPr>
          <w:rFonts w:ascii="Calibri" w:hAnsi="Calibri" w:eastAsia="Yu Mincho"/>
        </w:rPr>
        <w:t>[E4] OWASP Foundation, “Password Storage Cheat Sheet,” https://cheatsheetseries.owasp.org/cheatsheets/Password_Storage_Cheat_Sheet.html, 2026年8月31日参照。</w:t>
      </w:r>
    </w:p>
    <w:p>
      <w:pPr>
        <w:spacing w:after="80" w:line="290" w:lineRule="auto"/>
        <w:ind w:left="540" w:hanging="279"/>
        <w:jc w:val="left"/>
        <w:numPr>
          <w:ilvl w:val="0"/>
          <w:numId w:val="12"/>
        </w:numPr>
      </w:pPr>
      <w:r>
        <w:rPr>
          <w:rFonts w:ascii="Calibri" w:hAnsi="Calibri" w:eastAsia="Yu Mincho"/>
        </w:rPr>
        <w:t>[E5] Microsoft, “Configure Windows Authentication in ASP.NET Core,” https://learn.microsoft.com/en-us/aspnet/core/security/authentication/windowsauth, 2026年8月31日参照。</w:t>
      </w:r>
    </w:p>
    <w:p>
      <w:pPr>
        <w:spacing w:after="80" w:line="290" w:lineRule="auto"/>
        <w:ind w:left="540" w:hanging="279"/>
        <w:jc w:val="left"/>
        <w:numPr>
          <w:ilvl w:val="0"/>
          <w:numId w:val="12"/>
        </w:numPr>
      </w:pPr>
      <w:r>
        <w:rPr>
          <w:rFonts w:ascii="Calibri" w:hAnsi="Calibri" w:eastAsia="Yu Mincho"/>
        </w:rPr>
        <w:t>[E6] SQLite Project, “Write-Ahead Logging,” https://www.sqlite.org/wal.html, 2026年8月31日参照。</w:t>
      </w:r>
    </w:p>
    <w:p>
      <w:pPr>
        <w:spacing w:after="80" w:line="290" w:lineRule="auto"/>
        <w:ind w:left="540" w:hanging="279"/>
        <w:jc w:val="left"/>
        <w:numPr>
          <w:ilvl w:val="0"/>
          <w:numId w:val="12"/>
        </w:numPr>
      </w:pPr>
      <w:r>
        <w:rPr>
          <w:rFonts w:ascii="Calibri" w:hAnsi="Calibri" w:eastAsia="Yu Mincho"/>
        </w:rPr>
        <w:t>[E7] Microsoft, “ClickOnce Deployment Manifest,” https://learn.microsoft.com/en-us/visualstudio/deployment/clickonce-deployment-manifest, 2026年8月31日参照。</w:t>
      </w:r>
    </w:p>
    <w:p>
      <w:pPr>
        <w:spacing w:after="80" w:line="290" w:lineRule="auto"/>
        <w:ind w:left="540" w:hanging="279"/>
        <w:jc w:val="left"/>
        <w:numPr>
          <w:ilvl w:val="0"/>
          <w:numId w:val="12"/>
        </w:numPr>
      </w:pPr>
      <w:r>
        <w:rPr>
          <w:rFonts w:ascii="Calibri" w:hAnsi="Calibri" w:eastAsia="Yu Mincho"/>
        </w:rPr>
        <w:t>[E8] Microsoft, “AesGcm Class,” https://learn.microsoft.com/en-us/dotnet/api/system.security.cryptography.aesgcm, 2026年8月31日参照。</w:t>
      </w:r>
    </w:p>
    <w:p>
      <w:pPr>
        <w:pStyle w:val="Heading1"/>
        <w:pageBreakBefore/>
      </w:pPr>
      <w:r>
        <w:rPr>
          <w:rFonts w:ascii="Calibri" w:hAnsi="Calibri" w:eastAsia="Yu Gothic"/>
        </w:rPr>
        <w:t>付録A 要求・実装・検証の対応</w:t>
      </w:r>
    </w:p>
    <w:tbl>
      <w:tblPr>
        <w:tblStyle w:val="TableGrid"/>
        <w:tblW w:type="dxa" w:w="9360"/>
        <w:jc w:val="center"/>
        <w:tblLayout w:type="fixed"/>
        <w:tblLook w:firstColumn="1" w:firstRow="1" w:lastColumn="0" w:lastRow="0" w:noHBand="0" w:noVBand="1" w:val="04A0"/>
        <w:tblInd w:w="120" w:type="dxa"/>
      </w:tblPr>
      <w:tblGrid>
        <w:gridCol w:w="1050"/>
        <w:gridCol w:w="1760"/>
        <w:gridCol w:w="2500"/>
        <w:gridCol w:w="2700"/>
        <w:gridCol w:w="1350"/>
      </w:tblGrid>
      <w:tr>
        <w:trPr>
          <w:tblHeader w:val="true"/>
        </w:trPr>
        <w:tc>
          <w:tcPr>
            <w:tcW w:type="dxa" w:w="105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RQ</w:t>
            </w:r>
          </w:p>
        </w:tc>
        <w:tc>
          <w:tcPr>
            <w:tcW w:type="dxa" w:w="176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主な要求</w:t>
            </w:r>
          </w:p>
        </w:tc>
        <w:tc>
          <w:tcPr>
            <w:tcW w:type="dxa" w:w="25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主な実装</w:t>
            </w:r>
          </w:p>
        </w:tc>
        <w:tc>
          <w:tcPr>
            <w:tcW w:type="dxa" w:w="270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現在の証拠</w:t>
            </w:r>
          </w:p>
        </w:tc>
        <w:tc>
          <w:tcPr>
            <w:tcW w:type="dxa" w:w="1350"/>
            <w:shd w:fill="EAF2F8"/>
            <w:tcMar>
              <w:top w:w="80" w:type="dxa"/>
              <w:start w:w="120" w:type="dxa"/>
              <w:bottom w:w="80" w:type="dxa"/>
              <w:end w:w="120" w:type="dxa"/>
            </w:tcMar>
            <w:vAlign w:val="center"/>
          </w:tcPr>
          <w:p>
            <w:pPr>
              <w:spacing w:after="30" w:line="252" w:lineRule="auto"/>
              <w:jc w:val="left"/>
            </w:pPr>
            <w:r>
              <w:rPr>
                <w:rFonts w:ascii="Calibri" w:hAnsi="Calibri" w:eastAsia="Yu Gothic"/>
                <w:b/>
                <w:color w:val="17324D"/>
              </w:rPr>
            </w:r>
            <w:r>
              <w:rPr>
                <w:rFonts w:ascii="Calibri" w:hAnsi="Calibri" w:eastAsia="Yu Gothic"/>
                <w:b/>
                <w:color w:val="17324D"/>
                <w:sz w:val="17"/>
              </w:rPr>
              <w:t>判定</w:t>
            </w:r>
          </w:p>
        </w:tc>
      </w:tr>
      <w:tr>
        <w:tc>
          <w:tcPr>
            <w:tcW w:type="dxa" w:w="1050"/>
            <w:tcMar>
              <w:top w:w="80" w:type="dxa"/>
              <w:start w:w="120" w:type="dxa"/>
              <w:bottom w:w="80" w:type="dxa"/>
              <w:end w:w="120" w:type="dxa"/>
            </w:tcMar>
            <w:vAlign w:val="center"/>
          </w:tcPr>
          <w:p>
            <w:pPr>
              <w:spacing w:after="30" w:line="252" w:lineRule="auto"/>
              <w:jc w:val="left"/>
            </w:pPr>
            <w:r/>
            <w:r>
              <w:rPr>
                <w:rFonts w:ascii="Calibri" w:hAnsi="Calibri" w:eastAsia="Yu Mincho"/>
                <w:sz w:val="17"/>
              </w:rPr>
              <w:t>RQ1</w:t>
            </w:r>
          </w:p>
        </w:tc>
        <w:tc>
          <w:tcPr>
            <w:tcW w:type="dxa" w:w="1760"/>
            <w:tcMar>
              <w:top w:w="80" w:type="dxa"/>
              <w:start w:w="120" w:type="dxa"/>
              <w:bottom w:w="80" w:type="dxa"/>
              <w:end w:w="120" w:type="dxa"/>
            </w:tcMar>
            <w:vAlign w:val="center"/>
          </w:tcPr>
          <w:p>
            <w:pPr>
              <w:spacing w:after="30" w:line="252" w:lineRule="auto"/>
              <w:jc w:val="left"/>
            </w:pPr>
            <w:r/>
            <w:r>
              <w:rPr>
                <w:rFonts w:ascii="Calibri" w:hAnsi="Calibri" w:eastAsia="Yu Mincho"/>
                <w:sz w:val="17"/>
              </w:rPr>
              <w:t>共通認証・細粒度認可</w:t>
            </w:r>
          </w:p>
        </w:tc>
        <w:tc>
          <w:tcPr>
            <w:tcW w:type="dxa" w:w="2500"/>
            <w:tcMar>
              <w:top w:w="80" w:type="dxa"/>
              <w:start w:w="120" w:type="dxa"/>
              <w:bottom w:w="80" w:type="dxa"/>
              <w:end w:w="120" w:type="dxa"/>
            </w:tcMar>
            <w:vAlign w:val="center"/>
          </w:tcPr>
          <w:p>
            <w:pPr>
              <w:spacing w:after="30" w:line="252" w:lineRule="auto"/>
              <w:jc w:val="left"/>
            </w:pPr>
            <w:r/>
            <w:r>
              <w:rPr>
                <w:rFonts w:ascii="Calibri" w:hAnsi="Calibri" w:eastAsia="Yu Mincho"/>
                <w:sz w:val="17"/>
              </w:rPr>
              <w:t>Auth、PermissionService、PathHelper、ExecuteAsync</w:t>
            </w:r>
          </w:p>
        </w:tc>
        <w:tc>
          <w:tcPr>
            <w:tcW w:type="dxa" w:w="2700"/>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r>
        <w:tc>
          <w:tcPr>
            <w:tcW w:type="dxa" w:w="10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RQ2</w:t>
            </w:r>
          </w:p>
        </w:tc>
        <w:tc>
          <w:tcPr>
            <w:tcW w:type="dxa" w:w="176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成否・拒否・障害の追跡</w:t>
            </w:r>
          </w:p>
        </w:tc>
        <w:tc>
          <w:tcPr>
            <w:tcW w:type="dxa" w:w="25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AuditLog、AuditOutbox、PendingLogs、CSV</w:t>
            </w:r>
          </w:p>
        </w:tc>
        <w:tc>
          <w:tcPr>
            <w:tcW w:type="dxa" w:w="2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r>
        <w:tc>
          <w:tcPr>
            <w:tcW w:type="dxa" w:w="1050"/>
            <w:tcMar>
              <w:top w:w="80" w:type="dxa"/>
              <w:start w:w="120" w:type="dxa"/>
              <w:bottom w:w="80" w:type="dxa"/>
              <w:end w:w="120" w:type="dxa"/>
            </w:tcMar>
            <w:vAlign w:val="center"/>
          </w:tcPr>
          <w:p>
            <w:pPr>
              <w:spacing w:after="30" w:line="252" w:lineRule="auto"/>
              <w:jc w:val="left"/>
            </w:pPr>
            <w:r/>
            <w:r>
              <w:rPr>
                <w:rFonts w:ascii="Calibri" w:hAnsi="Calibri" w:eastAsia="Yu Mincho"/>
                <w:sz w:val="17"/>
              </w:rPr>
              <w:t>RQ3</w:t>
            </w:r>
          </w:p>
        </w:tc>
        <w:tc>
          <w:tcPr>
            <w:tcW w:type="dxa" w:w="1760"/>
            <w:tcMar>
              <w:top w:w="80" w:type="dxa"/>
              <w:start w:w="120" w:type="dxa"/>
              <w:bottom w:w="80" w:type="dxa"/>
              <w:end w:w="120" w:type="dxa"/>
            </w:tcMar>
            <w:vAlign w:val="center"/>
          </w:tcPr>
          <w:p>
            <w:pPr>
              <w:spacing w:after="30" w:line="252" w:lineRule="auto"/>
              <w:jc w:val="left"/>
            </w:pPr>
            <w:r/>
            <w:r>
              <w:rPr>
                <w:rFonts w:ascii="Calibri" w:hAnsi="Calibri" w:eastAsia="Yu Mincho"/>
                <w:sz w:val="17"/>
              </w:rPr>
              <w:t>通信・秘密の保護</w:t>
            </w:r>
          </w:p>
        </w:tc>
        <w:tc>
          <w:tcPr>
            <w:tcW w:type="dxa" w:w="2500"/>
            <w:tcMar>
              <w:top w:w="80" w:type="dxa"/>
              <w:start w:w="120" w:type="dxa"/>
              <w:bottom w:w="80" w:type="dxa"/>
              <w:end w:w="120" w:type="dxa"/>
            </w:tcMar>
            <w:vAlign w:val="center"/>
          </w:tcPr>
          <w:p>
            <w:pPr>
              <w:spacing w:after="30" w:line="252" w:lineRule="auto"/>
              <w:jc w:val="left"/>
            </w:pPr>
            <w:r/>
            <w:r>
              <w:rPr>
                <w:rFonts w:ascii="Calibri" w:hAnsi="Calibri" w:eastAsia="Yu Mincho"/>
                <w:sz w:val="17"/>
              </w:rPr>
              <w:t>HTTPS/mTLS、bcrypt、JWT、AES-GCM、JsonIgnore</w:t>
            </w:r>
          </w:p>
        </w:tc>
        <w:tc>
          <w:tcPr>
            <w:tcW w:type="dxa" w:w="2700"/>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r>
        <w:tc>
          <w:tcPr>
            <w:tcW w:type="dxa" w:w="10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RQ4</w:t>
            </w:r>
          </w:p>
        </w:tc>
        <w:tc>
          <w:tcPr>
            <w:tcW w:type="dxa" w:w="176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中断・競合時の安全な転送</w:t>
            </w:r>
          </w:p>
        </w:tc>
        <w:tc>
          <w:tcPr>
            <w:tcW w:type="dxa" w:w="25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Transfer V2、hash、offset、queue、.part</w:t>
            </w:r>
          </w:p>
        </w:tc>
        <w:tc>
          <w:tcPr>
            <w:tcW w:type="dxa" w:w="2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r>
        <w:tc>
          <w:tcPr>
            <w:tcW w:type="dxa" w:w="1050"/>
            <w:tcMar>
              <w:top w:w="80" w:type="dxa"/>
              <w:start w:w="120" w:type="dxa"/>
              <w:bottom w:w="80" w:type="dxa"/>
              <w:end w:w="120" w:type="dxa"/>
            </w:tcMar>
            <w:vAlign w:val="center"/>
          </w:tcPr>
          <w:p>
            <w:pPr>
              <w:spacing w:after="30" w:line="252" w:lineRule="auto"/>
              <w:jc w:val="left"/>
            </w:pPr>
            <w:r/>
            <w:r>
              <w:rPr>
                <w:rFonts w:ascii="Calibri" w:hAnsi="Calibri" w:eastAsia="Yu Mincho"/>
                <w:sz w:val="17"/>
              </w:rPr>
              <w:t>RQ5</w:t>
            </w:r>
          </w:p>
        </w:tc>
        <w:tc>
          <w:tcPr>
            <w:tcW w:type="dxa" w:w="1760"/>
            <w:tcMar>
              <w:top w:w="80" w:type="dxa"/>
              <w:start w:w="120" w:type="dxa"/>
              <w:bottom w:w="80" w:type="dxa"/>
              <w:end w:w="120" w:type="dxa"/>
            </w:tcMar>
            <w:vAlign w:val="center"/>
          </w:tcPr>
          <w:p>
            <w:pPr>
              <w:spacing w:after="30" w:line="252" w:lineRule="auto"/>
              <w:jc w:val="left"/>
            </w:pPr>
            <w:r/>
            <w:r>
              <w:rPr>
                <w:rFonts w:ascii="Calibri" w:hAnsi="Calibri" w:eastAsia="Yu Mincho"/>
                <w:sz w:val="17"/>
              </w:rPr>
              <w:t>三経路と障害特性</w:t>
            </w:r>
          </w:p>
        </w:tc>
        <w:tc>
          <w:tcPr>
            <w:tcW w:type="dxa" w:w="2500"/>
            <w:tcMar>
              <w:top w:w="80" w:type="dxa"/>
              <w:start w:w="120" w:type="dxa"/>
              <w:bottom w:w="80" w:type="dxa"/>
              <w:end w:w="120" w:type="dxa"/>
            </w:tcMar>
            <w:vAlign w:val="center"/>
          </w:tcPr>
          <w:p>
            <w:pPr>
              <w:spacing w:after="30" w:line="252" w:lineRule="auto"/>
              <w:jc w:val="left"/>
            </w:pPr>
            <w:r/>
            <w:r>
              <w:rPr>
                <w:rFonts w:ascii="Calibri" w:hAnsi="Calibri" w:eastAsia="Yu Mincho"/>
                <w:sz w:val="17"/>
              </w:rPr>
              <w:t>NodeRouter、AgentForwarder、heartbeat、Gateway</w:t>
            </w:r>
          </w:p>
        </w:tc>
        <w:tc>
          <w:tcPr>
            <w:tcW w:type="dxa" w:w="2700"/>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r>
        <w:tc>
          <w:tcPr>
            <w:tcW w:type="dxa" w:w="10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RQ6</w:t>
            </w:r>
          </w:p>
        </w:tc>
        <w:tc>
          <w:tcPr>
            <w:tcW w:type="dxa" w:w="176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管理手順の簡素化</w:t>
            </w:r>
          </w:p>
        </w:tc>
        <w:tc>
          <w:tcPr>
            <w:tcW w:type="dxa" w:w="25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CSV、Bundle、GUI、ClickOnce、Service、SQLite</w:t>
            </w:r>
          </w:p>
        </w:tc>
        <w:tc>
          <w:tcPr>
            <w:tcW w:type="dxa" w:w="270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自動テスト・手動検証</w:t>
            </w:r>
          </w:p>
        </w:tc>
        <w:tc>
          <w:tcPr>
            <w:tcW w:type="dxa" w:w="1350"/>
            <w:shd w:fill="FAFBFC"/>
            <w:tcMar>
              <w:top w:w="80" w:type="dxa"/>
              <w:start w:w="120" w:type="dxa"/>
              <w:bottom w:w="80" w:type="dxa"/>
              <w:end w:w="120" w:type="dxa"/>
            </w:tcMar>
            <w:vAlign w:val="center"/>
          </w:tcPr>
          <w:p>
            <w:pPr>
              <w:spacing w:after="30" w:line="252" w:lineRule="auto"/>
              <w:jc w:val="left"/>
            </w:pPr>
            <w:r/>
            <w:r>
              <w:rPr>
                <w:rFonts w:ascii="Calibri" w:hAnsi="Calibri" w:eastAsia="Yu Mincho"/>
                <w:sz w:val="17"/>
              </w:rPr>
              <w:t>合格</w:t>
            </w:r>
          </w:p>
        </w:tc>
      </w:tr>
    </w:tbl>
    <w:p>
      <w:pPr>
        <w:spacing w:after="0"/>
      </w:pPr>
    </w:p>
    <w:p>
      <w:pPr>
        <w:pStyle w:val="Heading1"/>
        <w:pageBreakBefore/>
      </w:pPr>
      <w:r>
        <w:rPr>
          <w:rFonts w:ascii="Calibri" w:hAnsi="Calibri" w:eastAsia="Yu Gothic"/>
        </w:rPr>
        <w:t>付録B 提出前チェック</w:t>
      </w:r>
    </w:p>
    <w:p>
      <w:pPr>
        <w:spacing w:after="80" w:line="290" w:lineRule="auto"/>
        <w:ind w:left="540" w:hanging="279"/>
        <w:jc w:val="left"/>
        <w:numPr>
          <w:ilvl w:val="0"/>
          <w:numId w:val="13"/>
        </w:numPr>
      </w:pPr>
      <w:r>
        <w:rPr>
          <w:rFonts w:ascii="Calibri" w:hAnsi="Calibri" w:eastAsia="Yu Mincho"/>
        </w:rPr>
        <w:t>タイトル、概要、序論、結論で目的・範囲・結論が一致していること。</w:t>
      </w:r>
    </w:p>
    <w:p>
      <w:pPr>
        <w:spacing w:after="80" w:line="290" w:lineRule="auto"/>
        <w:ind w:left="540" w:hanging="279"/>
        <w:jc w:val="left"/>
        <w:numPr>
          <w:ilvl w:val="0"/>
          <w:numId w:val="13"/>
        </w:numPr>
      </w:pPr>
      <w:r>
        <w:rPr>
          <w:rFonts w:ascii="Calibri" w:hAnsi="Calibri" w:eastAsia="Yu Mincho"/>
        </w:rPr>
        <w:t>PANDAを既存ツール、Watashiを後継ツールとして一貫して表記していること。</w:t>
      </w:r>
    </w:p>
    <w:p>
      <w:pPr>
        <w:spacing w:after="80" w:line="290" w:lineRule="auto"/>
        <w:ind w:left="540" w:hanging="279"/>
        <w:jc w:val="left"/>
        <w:numPr>
          <w:ilvl w:val="0"/>
          <w:numId w:val="13"/>
        </w:numPr>
      </w:pPr>
      <w:r>
        <w:rPr>
          <w:rFonts w:ascii="Calibri" w:hAnsi="Calibri" w:eastAsia="Yu Mincho"/>
        </w:rPr>
        <w:t>SMBとCIFSを初出で区別していること。</w:t>
      </w:r>
    </w:p>
    <w:p>
      <w:pPr>
        <w:spacing w:after="80" w:line="290" w:lineRule="auto"/>
        <w:ind w:left="540" w:hanging="279"/>
        <w:jc w:val="left"/>
        <w:numPr>
          <w:ilvl w:val="0"/>
          <w:numId w:val="13"/>
        </w:numPr>
      </w:pPr>
      <w:r>
        <w:rPr>
          <w:rFonts w:ascii="Calibri" w:hAnsi="Calibri" w:eastAsia="Yu Mincho"/>
        </w:rPr>
        <w:t>仕様上の主張と実装・実測結果を区別していること。</w:t>
      </w:r>
    </w:p>
    <w:p>
      <w:pPr>
        <w:spacing w:after="80" w:line="290" w:lineRule="auto"/>
        <w:ind w:left="540" w:hanging="279"/>
        <w:jc w:val="left"/>
        <w:numPr>
          <w:ilvl w:val="0"/>
          <w:numId w:val="13"/>
        </w:numPr>
      </w:pPr>
      <w:r>
        <w:rPr>
          <w:rFonts w:ascii="Calibri" w:hAnsi="Calibri" w:eastAsia="Yu Mincho"/>
        </w:rPr>
        <w:t>図表を本文から参照し、表題を表の上、図題を図の下に置くこと。</w:t>
      </w:r>
    </w:p>
    <w:p>
      <w:pPr>
        <w:spacing w:after="80" w:line="290" w:lineRule="auto"/>
        <w:ind w:left="540" w:hanging="279"/>
        <w:jc w:val="left"/>
        <w:numPr>
          <w:ilvl w:val="0"/>
          <w:numId w:val="13"/>
        </w:numPr>
      </w:pPr>
      <w:r>
        <w:rPr>
          <w:rFonts w:ascii="Calibri" w:hAnsi="Calibri" w:eastAsia="Yu Mincho"/>
        </w:rPr>
        <w:t>略語を初出でスペルアウトし、常体、一文一論旨を維持すること。</w:t>
      </w:r>
    </w:p>
    <w:p>
      <w:pPr>
        <w:spacing w:after="80" w:line="290" w:lineRule="auto"/>
        <w:ind w:left="540" w:hanging="279"/>
        <w:jc w:val="left"/>
        <w:numPr>
          <w:ilvl w:val="0"/>
          <w:numId w:val="13"/>
        </w:numPr>
      </w:pPr>
      <w:r>
        <w:rPr>
          <w:rFonts w:ascii="Calibri" w:hAnsi="Calibri" w:eastAsia="Yu Mincho"/>
        </w:rPr>
        <w:t>Wordの見出しスタイル、自動目次、ページ番号、参考文献、改ページを最終確認すること。</w:t>
      </w:r>
    </w:p>
    <w:sectPr w:rsidR="00FC693F" w:rsidRPr="0006063C" w:rsidSect="00034616">
      <w:headerReference w:type="default" r:id="rId9"/>
      <w:footerReference w:type="default" r:id="rId10"/>
      <w:pgSz w:w="12240" w:h="15840"/>
      <w:pgMar w:top="1224" w:right="1325" w:bottom="1152" w:left="1325"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64748B"/>
        <w:sz w:val="17"/>
      </w:rPr>
      <w:t xml:space="preserve">Watashi 技術レポート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eastAsia="Yu Gothic"/>
        <w:color w:val="64748B"/>
        <w:sz w:val="17"/>
      </w:rPr>
      <w:t>PANDAの課題を踏まえたWatashiの設計・実装・検証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540"/>
        </w:tabs>
        <w:ind w:left="540" w:hanging="280"/>
      </w:pPr>
    </w:lvl>
  </w:abstractNum>
  <w:num w:numId="10">
    <w:abstractNumId w:val="9"/>
  </w:num>
  <w:abstractNum w:abstractNumId="10">
    <w:multiLevelType w:val="singleLevel"/>
    <w:lvl w:ilvl="0">
      <w:start w:val="1"/>
      <w:numFmt w:val="bullet"/>
      <w:lvlText w:val="•"/>
      <w:suff w:val="space"/>
      <w:pPr>
        <w:tabs>
          <w:tab w:val="num" w:pos="540"/>
        </w:tabs>
        <w:ind w:left="540" w:hanging="280"/>
      </w:pPr>
    </w:lvl>
  </w:abstractNum>
  <w:num w:numId="11">
    <w:abstractNumId w:val="10"/>
  </w:num>
  <w:abstractNum w:abstractNumId="11">
    <w:multiLevelType w:val="singleLevel"/>
    <w:lvl w:ilvl="0">
      <w:start w:val="1"/>
      <w:numFmt w:val="bullet"/>
      <w:lvlText w:val="•"/>
      <w:suff w:val="space"/>
      <w:pPr>
        <w:tabs>
          <w:tab w:val="num" w:pos="540"/>
        </w:tabs>
        <w:ind w:left="540" w:hanging="280"/>
      </w:pPr>
    </w:lvl>
  </w:abstractNum>
  <w:num w:numId="12">
    <w:abstractNumId w:val="11"/>
  </w:num>
  <w:abstractNum w:abstractNumId="12">
    <w:multiLevelType w:val="singleLevel"/>
    <w:lvl w:ilvl="0">
      <w:start w:val="1"/>
      <w:numFmt w:val="bullet"/>
      <w:lvlText w:val="•"/>
      <w:suff w:val="space"/>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auto" w:after="160"/>
      <w:jc w:val="both"/>
    </w:pPr>
    <w:rPr>
      <w:rFonts w:ascii="Calibri" w:hAnsi="Calibri" w:eastAsia="Yu Minch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before="0"/>
      <w:contextualSpacing/>
    </w:pPr>
    <w:rPr>
      <w:rFonts w:asciiTheme="majorHAnsi" w:eastAsiaTheme="majorEastAsia" w:hAnsiTheme="majorHAnsi" w:cstheme="majorBidi" w:ascii="Calibri" w:hAnsi="Calibri" w:eastAsia="Yu Gothi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eastAsia="Yu Gothic"/>
      <w:b w:val="0"/>
      <w:i/>
      <w:iCs/>
      <w:color w:val="2A8C8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ind w:left="504" w:right="216"/>
    </w:pPr>
    <w:rPr>
      <w:rFonts w:ascii="Calibri" w:hAnsi="Calibri" w:eastAsia="Yu Mincho"/>
      <w:i w:val="0"/>
      <w:iCs/>
      <w:color w:val="1F4D7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pPr>
    <w:rPr>
      <w:rFonts w:ascii="Calibri" w:hAnsi="Calibri" w:eastAsia="Yu Gothic"/>
      <w:b/>
      <w:bCs/>
      <w:color w:val="64748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既存ツールPANDAの課題を踏まえた「Watashi」の設計・実装・検証</dc:title>
  <dc:subject>Watashi 技術レポート</dc:subject>
  <dc:creator>python-docx</dc:creator>
  <cp:keywords>Watashi, PANDA, SMB, CIFS, 認証, 認可, 監査, Agent</cp:keywords>
  <dc:description>2026-08-31時点のWatashi技術報告</dc:description>
  <cp:lastModifiedBy/>
  <cp:revision>1</cp:revision>
  <dcterms:created xsi:type="dcterms:W3CDTF">2013-12-23T23:15:00Z</dcterms:created>
  <dcterms:modified xsi:type="dcterms:W3CDTF">2013-12-23T23:15:00Z</dcterms:modified>
  <cp:category/>
</cp:coreProperties>
</file>