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b/>
          <w:bCs/>
          <w:color w:val="1F3864"/>
          <w:sz w:val="64"/>
          <w:szCs w:val="64"/>
        </w:rPr>
        <w:t xml:space="preserve">Quorima</w:t>
      </w:r>
    </w:p>
    <w:p>
      <w:pPr>
        <w:spacing w:after="120"/>
        <w:jc w:val="center"/>
      </w:pPr>
      <w:r>
        <w:rPr>
          <w:color w:val="404040"/>
          <w:sz w:val="36"/>
          <w:szCs w:val="36"/>
        </w:rPr>
        <w:t xml:space="preserve">C-Level Agentic Board</w:t>
      </w:r>
    </w:p>
    <w:p>
      <w:pPr>
        <w:spacing w:after="600"/>
        <w:jc w:val="center"/>
      </w:pPr>
      <w:r>
        <w:rPr>
          <w:i/>
          <w:iCs/>
          <w:color w:val="595959"/>
          <w:sz w:val="24"/>
          <w:szCs w:val="24"/>
        </w:rPr>
        <w:t xml:space="preserve">Architectuur &amp; Agent Rollen — v0.1</w:t>
      </w:r>
    </w:p>
    <w:p>
      <w:pPr>
        <w:spacing w:after="120"/>
        <w:jc w:val="center"/>
      </w:pPr>
      <w:r>
        <w:rPr>
          <w:sz w:val="22"/>
          <w:szCs w:val="22"/>
        </w:rPr>
        <w:t xml:space="preserve">Holding scope: NL BV 1 (Techniek) · NL BV 2 (Services) · UK Ltd</w:t>
      </w:r>
    </w:p>
    <w:p>
      <w:pPr>
        <w:spacing w:after="120"/>
        <w:jc w:val="center"/>
      </w:pPr>
      <w:r>
        <w:rPr>
          <w:sz w:val="22"/>
          <w:szCs w:val="22"/>
        </w:rPr>
        <w:t xml:space="preserve">C-Level rollen: CEO · CFO · COO · CMO</w:t>
      </w:r>
    </w:p>
    <w:p>
      <w:pPr>
        <w:spacing w:after="1200"/>
        <w:jc w:val="center"/>
      </w:pPr>
      <w:r>
        <w:rPr>
          <w:sz w:val="22"/>
          <w:szCs w:val="22"/>
        </w:rPr>
        <w:t xml:space="preserve">Focus: financiële KPI's · sales pipeline · M&amp;A deal flow</w:t>
      </w:r>
    </w:p>
    <w:p>
      <w:pPr>
        <w:jc w:val="center"/>
      </w:pPr>
      <w:r>
        <w:rPr>
          <w:color w:val="808080"/>
          <w:sz w:val="20"/>
          <w:szCs w:val="20"/>
        </w:rPr>
        <w:t xml:space="preserve">Author: Armand Parris · Sirrapa Group · 26 april 2026</w:t>
      </w:r>
    </w:p>
    <w:p>
      <w:r>
        <w:br w:type="page"/>
      </w:r>
    </w:p>
    <w:p>
      <w:pPr>
        <w:pStyle w:val="Heading1"/>
        <w:spacing w:after="180" w:before="360"/>
      </w:pPr>
      <w:r>
        <w:t xml:space="preserve">1. Executive Summary</w:t>
      </w:r>
    </w:p>
    <w:p>
      <w:pPr>
        <w:spacing w:after="120"/>
      </w:pPr>
      <w:r>
        <w:t xml:space="preserve">Quorima is een agentic C-level board dat een holdingstructuur (twee NL BV's en een UK Ltd) bestuurlijk versterkt door een team van gespecialiseerde AI-agenten — CEO, CFO, COO en CMO — die continu data uit boekhouding (Exact / Twinfield / Xero), CRM (HubSpot als default) en M&amp;A bronnen consolideren, analyseren en omzetten in concrete acties en boardroom-ready briefings.</w:t>
      </w:r>
    </w:p>
    <w:p>
      <w:pPr>
        <w:spacing w:after="120"/>
      </w:pPr>
      <w:r>
        <w:t xml:space="preserve">Het systeem wordt gebouwd op platform.claude.com (Claude API + Agent SDK) als kern. Niet-LLM componenten (orchestratie, datalaag, integraties) worden in TypeScript en Python opgezet, met een installable wizard zodat het product zowel als multi-tenant SaaS als on-premise (single-tenant container) uitgerold kan worden — de basis voor monetization.</w:t>
      </w:r>
    </w:p>
    <w:p>
      <w:pPr>
        <w:spacing w:after="120"/>
      </w:pPr>
      <w:r>
        <w:t xml:space="preserve">Dit document beschrijft de doelarchitectuur en de definitie van de vier C-level agenten (scope, tools, datatoegang, output-formaat, escalatiepaden). Het vormt de basis voor de implementatie-iteraties die hierna volgen: CFO-consolidatie eerst, dan M&amp;A deal flow, dan CMO/sales pipeline.</w:t>
      </w:r>
    </w:p>
    <w:p>
      <w:pPr>
        <w:pStyle w:val="Heading2"/>
        <w:spacing w:after="140" w:before="280"/>
      </w:pPr>
      <w:r>
        <w:t xml:space="preserve">1.1 Designprincipes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Claude-first — alle redeneerwerk en agentcoördinatie via Anthropic's Claude API; Opus 4.6 voor strategisch werk, Sonnet 4.6 voor analyse, Haiku 4.5 voor data-fetching en formatting.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Multi-entity-by-design — elke agent kent het verschil tussen entiteit-niveau (BV1, BV2, UK Ltd) en holding-niveau, en consolideert correct (FX, intercompany, IFRS-vs-NL-GAAP).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Connector-agnostisch — accounting (Exact/Twinfield/Xero) en CRM (HubSpot/Salesforce/Pipedrive) zitten achter een uniform interface zodat klanten zelf kunnen kiezen tijdens de install wizard.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Auditable — elke agent-output is reproduceerbaar: prompt, model, tool calls en bronnen worden gelogd; cruciaal voor een boardroom tool.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Deploy-flexibel — dezelfde codebase draait als hosted SaaS (multi-tenant) of als on-prem Docker stack (single-tenant), bestuurd door één install wizard.</w:t>
      </w:r>
    </w:p>
    <w:p>
      <w:r>
        <w:br w:type="page"/>
      </w:r>
    </w:p>
    <w:p>
      <w:pPr>
        <w:pStyle w:val="Heading1"/>
        <w:spacing w:after="180" w:before="360"/>
      </w:pPr>
      <w:r>
        <w:t xml:space="preserve">2. High-level Architectuur</w:t>
      </w:r>
    </w:p>
    <w:p>
      <w:pPr>
        <w:spacing w:after="120"/>
      </w:pPr>
      <w:r>
        <w:t xml:space="preserve">De architectuur is opgebouwd in vijf lagen: presentatie, agent orchestratie, knowledge &amp; memory, integratie/connectors en data + observability. Elke laag is onafhankelijk schaalbaar en is bewust gescheiden zodat on-prem klanten de presentatie- en data-laag in hun eigen omgeving kunnen draaien terwijl ze de agent-laag op platform.claude.com gebruiken.</w:t>
      </w:r>
    </w:p>
    <w:p>
      <w:pPr>
        <w:pStyle w:val="Heading2"/>
        <w:spacing w:after="140" w:before="280"/>
      </w:pPr>
      <w:r>
        <w:t xml:space="preserve">2.1 Lagen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Laag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Inhoud &amp; verantwoordelijkheid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1. Presentatie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Next.js webapp (board cockpit, KPI dashboards, deal pipeline). Live artifacts via embedded HTML views. Mobile-friendly read-only voor de board.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2. Agent Orchestratie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Claude Agent SDK (TypeScript) draait een 'Chief of Staff' orchestrator agent die taken routeert naar CEO/CFO/COO/CMO sub-agents. Elk gebruikt platform.claude.com via API. Coördinatie via shared workspace + message bus.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3. Knowledge &amp; Memory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Vector store (pgvector) voor lange-termijn geheugen per entiteit en per agent. Document store voor board minutes, contracts, NDAs, due-diligence dossiers. Deal flow CRM als first-class object.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4. Integratie / Connectors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MCP-servers per bron: Exact Online, Twinfield, Xero, HubSpot, Salesforce, Pipedrive, Dealroom, PitchBook, Slack, e-mail. Uniforme interfaces (AccountingPort, CrmPort, DealSourcePort) zodat agents bron-onafhankelijk werken.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5. Data &amp; Observability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PostgreSQL (multi-tenant via row-level security). Audit log (alle agent runs + tool calls). Observability via OpenTelemetry → Langfuse / Honeycomb. Secrets via Vault / AWS KMS.</w:t>
            </w:r>
          </w:p>
        </w:tc>
      </w:tr>
    </w:tbl>
    <w:p>
      <w:pPr>
        <w:pStyle w:val="Heading2"/>
        <w:spacing w:after="140" w:before="280"/>
      </w:pPr>
      <w:r>
        <w:t xml:space="preserve">2.2 Modellenkeuze per agent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Agent / taak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Model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Reden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Chief of Staff (orchestrator)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claude-opus-4-6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Complexe routing, multi-step planning over alle C-level domeinen.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CEO agent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claude-opus-4-6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Strategie, M&amp;A go/no-go, holding-narratief; hoogste reasoning quality nodig.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CFO agent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claude-opus-4-6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Financiële consolidatie cross-entity + IFRS/GAAP; foutkosten zijn hoog.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COO agent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claude-sonnet-4-6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Operationele KPI's, capacity &amp; delivery; sneller en goedkoper, kwaliteit voldoende.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CMO agent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claude-sonnet-4-6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Pipeline-analyse, campaign performance; redeneerdiepte adequaat.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Sub-agents (data fetch, parsing, samenvatten)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claude-haiku-4-5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Hoog volume, lage kosten, snelle latency voor I/O-bound werk.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Embeddings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voyage-3 / voyage-3-large via Anthropic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State-of-the-art retrieval voor knowledge layer.</w:t>
            </w:r>
          </w:p>
        </w:tc>
      </w:tr>
    </w:tbl>
    <w:p>
      <w:pPr>
        <w:spacing w:after="120"/>
        <w:rPr>
          <w:i/>
          <w:iCs/>
          <w:color w:val="595959"/>
        </w:rPr>
      </w:pPr>
      <w:r>
        <w:rPr>
          <w:i/>
          <w:iCs/>
          <w:color w:val="595959"/>
        </w:rPr>
        <w:t xml:space="preserve">Modelconfiguratie wordt per tenant opgeslagen in de install wizard zodat budget- of compliance-gevoelige klanten downgrade-paden hebben.</w:t>
      </w:r>
    </w:p>
    <w:p>
      <w:r>
        <w:br w:type="page"/>
      </w:r>
    </w:p>
    <w:p>
      <w:pPr>
        <w:pStyle w:val="Heading1"/>
        <w:spacing w:after="180" w:before="360"/>
      </w:pPr>
      <w:r>
        <w:t xml:space="preserve">3. Agent Rollen — C-Level Board</w:t>
      </w:r>
    </w:p>
    <w:p>
      <w:pPr>
        <w:spacing w:after="120"/>
      </w:pPr>
      <w:r>
        <w:t xml:space="preserve">De vier C-level agenten zijn geen monolithische prompts; elk is een micro-team met sub-agents en eigen tools. De Chief of Staff orchestrator routeert vragen naar de juiste C-level agent en aggregeert antwoorden voor board-niveau briefings.</w:t>
      </w:r>
    </w:p>
    <w:p>
      <w:pPr>
        <w:pStyle w:val="Heading2"/>
        <w:spacing w:after="140" w:before="280"/>
      </w:pPr>
      <w:r>
        <w:t xml:space="preserve">3.1 Chief of Staff (Orchestrator)</w:t>
      </w:r>
    </w:p>
    <w:p>
      <w:pPr>
        <w:spacing w:after="120"/>
      </w:pPr>
      <w:r>
        <w:t xml:space="preserve">Niet onderdeel van het C-level board zelf, maar de coördinator die board-vragen verdeelt, agendapunten beheert en outputs synthetiseert.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Tools: agent_dispatch, schedule_meeting, summarize_thread, escalate_to_user.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Output: board agenda, executive summary, action items met owner.</w:t>
      </w:r>
    </w:p>
    <w:p>
      <w:pPr>
        <w:pStyle w:val="Heading2"/>
        <w:spacing w:after="140" w:before="280"/>
      </w:pPr>
      <w:r>
        <w:t xml:space="preserve">3.2 CEO Agent — Strategie &amp; M&amp;A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Scope: </w:t>
      </w:r>
      <w:r>
        <w:t xml:space="preserve">Holding-strategie, M&amp;A deal flow (complementaire overnames), board narrative, investor relations, cross-entity prioritering.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Sub-agents: </w:t>
      </w:r>
      <w:r>
        <w:t xml:space="preserve">M&amp;A Scout (target sourcing), Deal Analyzer (synergie + valuation), Strategy Writer (narratief).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Tools: </w:t>
      </w:r>
      <w:r>
        <w:t xml:space="preserve">deal_pipeline.read/write, target_screen, valuation_quick (DCF / EV-EBITDA multiples), synergy_model, market_scan, competitor_intel, write_board_memo.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Datatoegang: </w:t>
      </w:r>
      <w:r>
        <w:t xml:space="preserve">Holding niveau (geconsolideerd) + read-only summaries van alle entiteiten + extern (Dealroom/PitchBook/Crunchbase, nieuwsfeeds).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Output: </w:t>
      </w:r>
      <w:r>
        <w:t xml:space="preserve">Board memo's (≤ 2 pagina), deal one-pagers, weekly strategy digest, M&amp;A go/no-go advies.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Escalatie: </w:t>
      </w:r>
      <w:r>
        <w:t xml:space="preserve">Bij financiële impact &gt; €500K of acquisitie-intentie → mens-in-de-loop verplicht (eigenaar/board lid moet expliciet approven).</w:t>
      </w:r>
    </w:p>
    <w:p>
      <w:pPr>
        <w:pStyle w:val="Heading2"/>
        <w:spacing w:after="140" w:before="280"/>
      </w:pPr>
      <w:r>
        <w:t xml:space="preserve">3.3 CFO Agent — Financiële Consolidatie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Scope: </w:t>
      </w:r>
      <w:r>
        <w:t xml:space="preserve">P&amp;L, balans, cashflow per entiteit + geconsolideerd. FX (EUR/GBP), intercompany eliminatie, budget-vs-actuals, runway, working capital, financieringsstructuur.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Sub-agents: </w:t>
      </w:r>
      <w:r>
        <w:t xml:space="preserve">Bookkeeper (haalt en normaliseert data per entiteit), Consolidator (FX + intercompany), Variance Analyst (forecast vs actual), Cash Forecaster.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Tools: </w:t>
      </w:r>
      <w:r>
        <w:t xml:space="preserve">exact.read, twinfield.read, xero.read, fx_rate, ledger_query, kpi_compute (gross margin, EBITDA, DSO, DPO, current ratio, runway), forecast_run.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Datatoegang: </w:t>
      </w:r>
      <w:r>
        <w:t xml:space="preserve">Volledige read-only toegang per entiteit (NL BV 1, NL BV 2, UK Ltd) + write op consolidatie-views in eigen datalaag (nooit terugschrijven naar boekhouding).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Output: </w:t>
      </w:r>
      <w:r>
        <w:t xml:space="preserve">Daily flash (cash + key KPIs), weekly board pack, monthly close-ready report, ad-hoc variance memo's.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Escalatie: </w:t>
      </w:r>
      <w:r>
        <w:t xml:space="preserve">Bij covenant breach risico, runway &lt; 6 maanden, of variance &gt; 15% op kritieke KPI → directe alert naar CFO/CEO + board.</w:t>
      </w:r>
    </w:p>
    <w:p>
      <w:pPr>
        <w:pStyle w:val="Heading2"/>
        <w:spacing w:after="140" w:before="280"/>
      </w:pPr>
      <w:r>
        <w:t xml:space="preserve">3.4 COO Agent — Operations &amp; Delivery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Scope: </w:t>
      </w:r>
      <w:r>
        <w:t xml:space="preserve">Capacity, utilization, project delivery, klanttevredenheid (NPS/CSAT), incident-load, time-to-deliver, SLA performance, leverancier-prestaties.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Sub-agents: </w:t>
      </w:r>
      <w:r>
        <w:t xml:space="preserve">Delivery Tracker, Capacity Planner, Quality Monitor, Incident Triage.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Tools: </w:t>
      </w:r>
      <w:r>
        <w:t xml:space="preserve">project_pms.read (Asana/Jira/Monday — pluggable), timesheet.read, ticketing.read (Zendesk/Freshdesk), nps_compute, capacity_forecast.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Datatoegang: </w:t>
      </w:r>
      <w:r>
        <w:t xml:space="preserve">Per entiteit operationele bronnen; geaggregeerd op holding voor cross-BU trade-offs (bijv. Techniek-capaciteit benutten voor Services projecten).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Output: </w:t>
      </w:r>
      <w:r>
        <w:t xml:space="preserve">Weekly ops digest, capacity heatmap, delivery risk register, post-mortem briefings.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Escalatie: </w:t>
      </w:r>
      <w:r>
        <w:t xml:space="preserve">Bij delivery-risico op contracten &gt; €100K of NPS-drop &gt; 15 punten → escaleren naar CEO + verantwoordelijke entity-MD.</w:t>
      </w:r>
    </w:p>
    <w:p>
      <w:pPr>
        <w:pStyle w:val="Heading2"/>
        <w:spacing w:after="140" w:before="280"/>
      </w:pPr>
      <w:r>
        <w:t xml:space="preserve">3.5 CMO Agent — Sales Pipeline &amp; Marketing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Scope: </w:t>
      </w:r>
      <w:r>
        <w:t xml:space="preserve">Pipeline health (cross-entity), conversie per stage, CAC/LTV, campaign performance, ICP-fit scoring, content engagement, ABM-account momentum.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Sub-agents: </w:t>
      </w:r>
      <w:r>
        <w:t xml:space="preserve">Pipeline Analyst, Campaign Tracker, ICP Scorer, Content Strategist.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Tools: </w:t>
      </w:r>
      <w:r>
        <w:t xml:space="preserve">hubspot.read (default), salesforce.read, pipedrive.read, ga4.read, linkedin_ads.read, icp_score, deal_health_score, write_campaign_brief.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Datatoegang: </w:t>
      </w:r>
      <w:r>
        <w:t xml:space="preserve">Per entiteit CRM + cross-entity rollup voor holding view; integratie met M&amp;A pipeline (CEO) zodat acquisitie-targets ook customer-overlap krijgen geanalyseerd.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Output: </w:t>
      </w:r>
      <w:r>
        <w:t xml:space="preserve">Weekly pipeline digest, deal-by-deal risk flags, monthly funnel review, campaign briefs.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Escalatie: </w:t>
      </w:r>
      <w:r>
        <w:t xml:space="preserve">Bij quarter-end pipeline coverage &lt; 3x quota of strategische deal-stagnatie → directe push naar CEO + CFO.</w:t>
      </w:r>
    </w:p>
    <w:p>
      <w:r>
        <w:br w:type="page"/>
      </w:r>
    </w:p>
    <w:p>
      <w:pPr>
        <w:pStyle w:val="Heading1"/>
        <w:spacing w:after="180" w:before="360"/>
      </w:pPr>
      <w:r>
        <w:t xml:space="preserve">4. Data Laag &amp; Multi-Entity Model</w:t>
      </w:r>
    </w:p>
    <w:p>
      <w:pPr>
        <w:spacing w:after="120"/>
      </w:pPr>
      <w:r>
        <w:t xml:space="preserve">De fundering: één canoniek datamodel waarin elke transactie, deal, contact en project getagd is met entiteit, valuta en holding-rol. Dit is wat de agents echt 'boardroom-grade' maakt — zonder consistente data is geen consolidatie betrouwbaar.</w:t>
      </w:r>
    </w:p>
    <w:p>
      <w:pPr>
        <w:pStyle w:val="Heading2"/>
        <w:spacing w:after="140" w:before="280"/>
      </w:pPr>
      <w:r>
        <w:t xml:space="preserve">4.1 Entiteiten &amp; valuta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800"/>
        <w:gridCol w:w="1560"/>
        <w:gridCol w:w="180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Entiteit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Land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Valuta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GAAP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Boekhouding (default)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NL BV 1 (Techniek)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Nederland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EUR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NL GAAP / Title 9 BW2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Exact Online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NL BV 2 (Services)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Nederland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EUR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NL GAAP / Title 9 BW2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Exact Online of Twinfield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UK Ltd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Verenigd Koninkrijk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GBP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FRS 102 / IFRS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Xero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Holding (geconsolideerd)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NL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EUR (rapportage)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NL GAAP / IFRS optioneel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n.v.t. — virtueel</w:t>
            </w:r>
          </w:p>
        </w:tc>
      </w:tr>
    </w:tbl>
    <w:p>
      <w:pPr>
        <w:pStyle w:val="Heading2"/>
        <w:spacing w:after="140" w:before="280"/>
      </w:pPr>
      <w:r>
        <w:t xml:space="preserve">4.2 Canonieke entiteiten in de datalaag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Entity (id, name, country, currency, accounting_system, gaap)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Account (chart-of-accounts; gemapt naar uniforme holding-CoA)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Transaction (entity_id, date, amount, currency, fx_rate_to_eur, account_id, intercompany_flag)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Deal (entity_id, stage, value, owner, source, ICP_score, deal_health_score) — voor sales én M&amp;A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Project (entity_id, status, owner, planned_revenue, planned_margin, actuals)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Contact / Account (CRM-niveau; cross-entity dedup voor account-mapping)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AgentRun (run_id, agent, model, prompt_hash, tool_calls, output_hash, started_at) — audit trail</w:t>
      </w:r>
    </w:p>
    <w:p>
      <w:pPr>
        <w:pStyle w:val="Heading2"/>
        <w:spacing w:after="140" w:before="280"/>
      </w:pPr>
      <w:r>
        <w:t xml:space="preserve">4.3 Multi-tenant strategie (SaaS) vs single-tenant (on-prem)</w:t>
      </w:r>
    </w:p>
    <w:p>
      <w:pPr>
        <w:spacing w:after="120"/>
      </w:pPr>
      <w:r>
        <w:t xml:space="preserve">Eén codebase, twee runtime-modi: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SaaS multi-tenant: </w:t>
      </w:r>
      <w:r>
        <w:t xml:space="preserve">PostgreSQL met Row-Level Security per tenant_id; separated S3 prefix per tenant; per-tenant Anthropic workspace (via Anthropic Console workspaces) voor isolatie van usage en logs.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On-prem single-tenant: </w:t>
      </w:r>
      <w:r>
        <w:t xml:space="preserve">Docker Compose / Helm chart, klant brengt eigen Anthropic API key + eigen database; geen tenant_id-scheiding nodig; logs lokaal.</w:t>
      </w:r>
    </w:p>
    <w:p>
      <w:r>
        <w:br w:type="page"/>
      </w:r>
    </w:p>
    <w:p>
      <w:pPr>
        <w:pStyle w:val="Heading1"/>
        <w:spacing w:after="180" w:before="360"/>
      </w:pPr>
      <w:r>
        <w:t xml:space="preserve">5. Integratie &amp; Connectors</w:t>
      </w:r>
    </w:p>
    <w:p>
      <w:pPr>
        <w:spacing w:after="120"/>
      </w:pPr>
      <w:r>
        <w:t xml:space="preserve">Connectors zijn MCP-servers (Model Context Protocol) zodat ze direct herbruikbaar zijn in elke Claude-omgeving — binnen onze app, in Claude Desktop voor power-users, en in toekomstige plugins.</w:t>
      </w:r>
    </w:p>
    <w:p>
      <w:pPr>
        <w:pStyle w:val="Heading2"/>
        <w:spacing w:after="140" w:before="280"/>
      </w:pPr>
      <w:r>
        <w:t xml:space="preserve">5.1 Default connector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400"/>
        <w:gridCol w:w="23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Domein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Default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Alternatieven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Auth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Accounting NL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Exact Online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Twinfield, AFAS, Yuki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OAuth2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Accounting UK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Xero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QuickBooks Online, Sage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OAuth2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CRM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HubSpot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Salesforce, Pipedrive, Attio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OAuth2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M&amp;A sourcing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Dealroom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PitchBook, Crunchbase, Mergr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API key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Project / PSA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Asana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Jira, Monday, ClickUp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OAuth2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Communicatie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Slack + Gmail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MS Teams, Outlook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OAuth2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Document store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Google Drive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SharePoint, Box, Dropbox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OAuth2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Bank / cash visibility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Ponto / Tink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Plaid (US niet relevant)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OAuth2 / aggregator</w:t>
            </w:r>
          </w:p>
        </w:tc>
      </w:tr>
    </w:tbl>
    <w:p>
      <w:pPr>
        <w:spacing w:after="120"/>
        <w:rPr>
          <w:i/>
          <w:iCs/>
          <w:color w:val="595959"/>
        </w:rPr>
      </w:pPr>
      <w:r>
        <w:rPr>
          <w:i/>
          <w:iCs/>
          <w:color w:val="595959"/>
        </w:rPr>
        <w:t xml:space="preserve">Elke connector implementeert een 'Port' interface (AccountingPort, CrmPort, DealSourcePort, PsaPort, CommsPort, DocumentPort, BankPort) met een vaste set methodes; agents werken alleen tegen Ports — niet tegen de specifieke vendor.</w:t>
      </w:r>
    </w:p>
    <w:p>
      <w:pPr>
        <w:pStyle w:val="Heading2"/>
        <w:spacing w:after="140" w:before="280"/>
      </w:pPr>
      <w:r>
        <w:t xml:space="preserve">5.2 Voorbeeld: AccountingPort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listEntities() → Entity[]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getTrialBalance(entityId, period) → AccountLine[]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getPnL(entityId, period, options) → PnLReport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getBalanceSheet(entityId, asOf) → BalanceSheet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getCashflow(entityId, period) → CashflowReport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listTransactions(entityId, filter) → Transaction[]</w:t>
      </w:r>
    </w:p>
    <w:p>
      <w:r>
        <w:br w:type="page"/>
      </w:r>
    </w:p>
    <w:p>
      <w:pPr>
        <w:pStyle w:val="Heading1"/>
        <w:spacing w:after="180" w:before="360"/>
      </w:pPr>
      <w:r>
        <w:t xml:space="preserve">6. Install / Setup Wizard</w:t>
      </w:r>
    </w:p>
    <w:p>
      <w:pPr>
        <w:spacing w:after="120"/>
      </w:pPr>
      <w:r>
        <w:t xml:space="preserve">De wizard is het commerciële cruciale onderdeel: het bepaalt of een prospect Quorima binnen 30 minuten draaiend krijgt of dagen op consultancy moet wachten. Hij draait identiek voor SaaS (browser-based onboarding) en on-prem (Docker container met dezelfde web-UI op localhost).</w:t>
      </w:r>
    </w:p>
    <w:p>
      <w:pPr>
        <w:pStyle w:val="Heading2"/>
        <w:spacing w:after="140" w:before="280"/>
      </w:pPr>
      <w:r>
        <w:t xml:space="preserve">6.1 Wizard stappen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Stap 1 — Deployment-keuze: </w:t>
      </w:r>
      <w:r>
        <w:t xml:space="preserve">SaaS (managed) of On-prem (zelf hosten). Bepaalt de rest van het pad.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Stap 2 — Anthropic API: </w:t>
      </w:r>
      <w:r>
        <w:t xml:space="preserve">Claude API key invoeren (eigen workspace op platform.claude.com aangeraden voor budget-ringfencing). Validatie via test-call.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Stap 3 — Holding setup: </w:t>
      </w:r>
      <w:r>
        <w:t xml:space="preserve">Holding-naam, rapportagevaluta, fiscaal jaar. Daarna entiteiten toevoegen (NL BV 1, NL BV 2, UK Ltd) met land, valuta en GAAP.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Stap 4 — Accounting koppelen: </w:t>
      </w:r>
      <w:r>
        <w:t xml:space="preserve">Per entiteit OAuth-flow naar Exact / Twinfield / Xero. Auto-detectie van chart of accounts; mapping naar holding-CoA met AI-suggesties (Sonnet).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Stap 5 — CRM koppelen: </w:t>
      </w:r>
      <w:r>
        <w:t xml:space="preserve">HubSpot OAuth (default). Pipeline-detectie en stage-mapping. Optie om tweede CRM toe te voegen voor andere entiteit.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Stap 6 — M&amp;A configuratie: </w:t>
      </w:r>
      <w:r>
        <w:t xml:space="preserve">Acquisitie-thesis invoeren (sectoren, omvang, geografie, complementariteit-criteria). Optionele Dealroom/PitchBook keys.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Stap 7 — Board configuratie: </w:t>
      </w:r>
      <w:r>
        <w:t xml:space="preserve">Welke C-level agents activeren, escalatie-regels, communicatiekanalen (Slack/email), rapportageritmes.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Stap 8 — First run: </w:t>
      </w:r>
      <w:r>
        <w:t xml:space="preserve">Wizard triggert een kennismakings-board run: CFO baseline KPI's, CMO pipeline scan, COO project status, CEO opening-narratief. Klant ziet binnen 10 minuten output.</w:t>
      </w:r>
    </w:p>
    <w:p>
      <w:pPr>
        <w:pStyle w:val="Heading2"/>
        <w:spacing w:after="140" w:before="280"/>
      </w:pPr>
      <w:r>
        <w:t xml:space="preserve">6.2 On-prem-specifieke aspecten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Single binary (Go) of Docker Compose stack: web + api + worker + postgres + qdrant.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License key validatie via online check (eenmalig + maandelijks heartbeat) of pure offline-key voor air-gapped klanten.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Auto-update kanaal optioneel; klant kan kiezen voor pinned versions in regulated environments.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Backup wizard: dagelijkse pg_dump + S3-compatible target (MinIO ondersteund).</w:t>
      </w:r>
    </w:p>
    <w:p>
      <w:r>
        <w:br w:type="page"/>
      </w:r>
    </w:p>
    <w:p>
      <w:pPr>
        <w:pStyle w:val="Heading1"/>
        <w:spacing w:after="180" w:before="360"/>
      </w:pPr>
      <w:r>
        <w:t xml:space="preserve">7. Security, Privacy &amp; Compliance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AVG/GDPR — DPIA template meegeleverd; dataminimalisatie per agent; right-to-erasure ondersteund per contact.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UK Data Protection Act 2018 + GDPR (UK) voor UK Ltd data; cross-border transfers gedekt door SCCs.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Anthropic API zero-retention modus aanvragen voor enterprise klanten (no-training-on-customer-data is default).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Encryption: TLS 1.3 in transit; AES-256 at rest (RDS / volume); per-tenant KMS key in SaaS modus.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Secrets: Hashicorp Vault (on-prem) of AWS Secrets Manager (SaaS). API keys nooit in DB-rijen.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Auditability: complete agent-run log (immutable, append-only) met hash-chained entries voor tampering-detectie.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Role-based access: Owner / Board / C-level / Read-only views; agent-output is altijd gefilterd op rol vóór render.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SOC 2 Type II als SaaS-doel (jaar 2); ISO 27001 optioneel voor enterprise klanten.</w:t>
      </w:r>
    </w:p>
    <w:p>
      <w:r>
        <w:br w:type="page"/>
      </w:r>
    </w:p>
    <w:p>
      <w:pPr>
        <w:pStyle w:val="Heading1"/>
        <w:spacing w:after="180" w:before="360"/>
      </w:pPr>
      <w:r>
        <w:t xml:space="preserve">8. Monetization Model</w:t>
      </w:r>
    </w:p>
    <w:p>
      <w:pPr>
        <w:spacing w:after="120"/>
      </w:pPr>
      <w:r>
        <w:t xml:space="preserve">Drie verkoop-modaliteiten, alle drie ondersteund door dezelfde codebase en wizard.</w:t>
      </w:r>
    </w:p>
    <w:p>
      <w:pPr>
        <w:pStyle w:val="Heading2"/>
        <w:spacing w:after="140" w:before="280"/>
      </w:pPr>
      <w:r>
        <w:t xml:space="preserve">8.1 Pakketten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380"/>
        <w:gridCol w:w="238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Tier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Doelgroep</w:t>
            </w:r>
          </w:p>
        </w:tc>
        <w:tc>
          <w:tcPr>
            <w:tcW w:type="dxa" w:w="2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Inhoud</w:t>
            </w:r>
          </w:p>
        </w:tc>
        <w:tc>
          <w:tcPr>
            <w:tcW w:type="dxa" w:w="2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Indicatief €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Starter (SaaS)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 entiteit, &lt; €5M omzet</w:t>
            </w:r>
          </w:p>
        </w:tc>
        <w:tc>
          <w:tcPr>
            <w:tcW w:type="dxa" w:w="2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 C-level agent (CFO of CMO), 1 connector per type, weekly digest.</w:t>
            </w:r>
          </w:p>
        </w:tc>
        <w:tc>
          <w:tcPr>
            <w:tcW w:type="dxa" w:w="2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€499 / mnd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Holding (SaaS)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Multi-entity holding tot 5 BU's</w:t>
            </w:r>
          </w:p>
        </w:tc>
        <w:tc>
          <w:tcPr>
            <w:tcW w:type="dxa" w:w="2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Volledig 4-rol board, alle connectors, daily flash, M&amp;A pipeline.</w:t>
            </w:r>
          </w:p>
        </w:tc>
        <w:tc>
          <w:tcPr>
            <w:tcW w:type="dxa" w:w="2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€2.500–€4.500 / mnd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Enterprise / On-prem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Holdings &gt; €50M omzet of regulated</w:t>
            </w:r>
          </w:p>
        </w:tc>
        <w:tc>
          <w:tcPr>
            <w:tcW w:type="dxa" w:w="2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Eigen deployment, dedicated workspace, custom connectors, SLA.</w:t>
            </w:r>
          </w:p>
        </w:tc>
        <w:tc>
          <w:tcPr>
            <w:tcW w:type="dxa" w:w="2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€60K+ setup + €40K+/jr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Implementation services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Alle tiers</w:t>
            </w:r>
          </w:p>
        </w:tc>
        <w:tc>
          <w:tcPr>
            <w:tcW w:type="dxa" w:w="2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Onboarding, CoA-mapping review, custom KPI's, training board.</w:t>
            </w:r>
          </w:p>
        </w:tc>
        <w:tc>
          <w:tcPr>
            <w:tcW w:type="dxa" w:w="2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€5K–€25K eenmalig</w:t>
            </w:r>
          </w:p>
        </w:tc>
      </w:tr>
    </w:tbl>
    <w:p>
      <w:pPr>
        <w:pStyle w:val="Heading2"/>
        <w:spacing w:after="140" w:before="280"/>
      </w:pPr>
      <w:r>
        <w:t xml:space="preserve">8.2 Usage-cost model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Anthropic kosten doorrekenen op basis van metering per tenant (token-tracking); marge 35–55% afhankelijk van tier.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Sonnet/Haiku-tiering aan/uit per klant — controlleerbaar in install wizard zodat marge bewaakt blijft.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Soft caps + alerts (klant + intern) op maandelijkse token-usage; hard cap optioneel.</w:t>
      </w:r>
    </w:p>
    <w:p>
      <w:r>
        <w:br w:type="page"/>
      </w:r>
    </w:p>
    <w:p>
      <w:pPr>
        <w:pStyle w:val="Heading1"/>
        <w:spacing w:after="180" w:before="360"/>
      </w:pPr>
      <w:r>
        <w:t xml:space="preserve">9. Implementatie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5560"/>
      </w:tblGrid>
      <w:tr>
        <w:trPr>
          <w:tblHeader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Fase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Doel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Leveringen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Sprint 0 (1 wk)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Architectuur + kick-off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Dit document, repository scaffolding (Next.js + Agent SDK), Anthropic workspace setup, ENV-template.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Sprint 1 (2 wk)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CFO MVP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AccountingPort + Exact-connector, multi-entity consolidatie EUR/GBP, daily flash digest. Eerste demo intern.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Sprint 2 (2 wk)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CMO MVP + HubSpot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CrmPort + HubSpot-connector, pipeline-digest, deal health score.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Sprint 3 (2 wk)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CEO + M&amp;A deal flow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Deal-pipeline datamodel, M&amp;A scout sub-agent, Dealroom-connector, board memo generator.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Sprint 4 (2 wk)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COO + cross-entity ops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PsaPort, capacity heatmap, delivery risk register.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Sprint 5 (2 wk)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Install wizard + multi-tenant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Wizard UI, tenant-onboarding, RLS, billing-hooks (Stripe).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Sprint 6 (2 wk)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On-prem + design partners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Docker stack, license-flow, twee design partners live.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Sprint 7+ (doorlopend)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Security, SOC2 prep, vertical templates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DPIA, pen-test, audit logs, branche-templates (techniek+services holdings).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t xml:space="preserve">10. Open Vragen voor Volgende Iteratie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Welke boekhoudpakketten gebruiken NL BV 1, NL BV 2 en UK Ltd vandaag? (bepaalt eerste connector-prio)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Welk CRM is in gebruik? Eén CRM voor alle entiteiten of verschillend per BU?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Hoe ziet de huidige board cadence eruit (weekly/monthly/quarterly)? Bepaalt rapportageritmes.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Welke acquisitie-thesis (sectoren, deal size, geografie)? Cruciaal voor M&amp;A scout.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Bestaande board-templates / KPI-decks die we als 'reference output' moeten matchen?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Wat zijn de belangrijkste 1–2 KPI's per entiteit waar de board nu wakker van ligt?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Voorkeursdesign-partners voor SaaS-pilot? (eerste 2–3 holdings)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On-prem doelmarkt: family offices, defense / regulated, of internationaal?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Pagina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8"/>
        <w:szCs w:val="18"/>
      </w:rPr>
      <w:t xml:space="preserve"> van </w:t>
    </w:r>
    <w:r>
      <w:rPr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8"/>
        <w:szCs w:val="18"/>
      </w:rPr>
      <w:t xml:space="preserve">Quorima · Architectuur v0.4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Calibri" w:cs="Calibri" w:eastAsia="Calibri" w:hAnsi="Calibri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Calibri" w:cs="Calibri" w:eastAsia="Calibri" w:hAnsi="Calibri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Calibri" w:cs="Calibri" w:eastAsia="Calibri" w:hAnsi="Calibri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Quorima — C-Level Agentic Board — Architectuur &amp; Agent Rollen</dc:title>
  <dc:creator>Armand Parris</dc:creator>
  <dc:description>Quorima C-level agentic board voor Sirrapa Group Holding (ICT, Vastgoed NL, Property UK)</dc:description>
  <cp:lastModifiedBy>Un-named</cp:lastModifiedBy>
  <cp:revision>1</cp:revision>
  <dcterms:created xsi:type="dcterms:W3CDTF">2026-04-27T19:56:54.618Z</dcterms:created>
  <dcterms:modified xsi:type="dcterms:W3CDTF">2026-04-27T19:56:54.619Z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