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567" w:leader="none"/>
        </w:tabs>
        <w:jc w:val="center"/>
        <w:rPr>
          <w:rFonts w:ascii="Arial" w:hAnsi="Arial" w:cs="Arial"/>
          <w:szCs w:val="24"/>
        </w:rPr>
      </w:pPr>
      <w:r>
        <w:rPr>
          <w:rFonts w:cs="Arial" w:ascii="Arial" w:hAnsi="Arial"/>
          <w:b/>
          <w:sz w:val="28"/>
          <w:szCs w:val="28"/>
        </w:rPr>
        <w:t>New Zealand RS&amp;T Curriculum Vitae Template</w:t>
      </w:r>
    </w:p>
    <w:p>
      <w:pPr>
        <w:pStyle w:val="Normal"/>
        <w:jc w:val="center"/>
        <w:rPr>
          <w:rFonts w:ascii="Arial" w:hAnsi="Arial" w:cs="Arial"/>
          <w:b/>
          <w:b/>
          <w:szCs w:val="24"/>
        </w:rPr>
      </w:pPr>
      <w:r>
        <w:rPr>
          <w:rFonts w:cs="Arial" w:ascii="Arial" w:hAnsi="Arial"/>
          <w:b/>
          <w:szCs w:val="24"/>
        </w:rPr>
      </w:r>
    </w:p>
    <w:p>
      <w:pPr>
        <w:pStyle w:val="Normal"/>
        <w:rPr>
          <w:rFonts w:ascii="Arial" w:hAnsi="Arial" w:cs="Arial"/>
          <w:szCs w:val="24"/>
        </w:rPr>
      </w:pPr>
      <w:r>
        <w:rPr>
          <w:rFonts w:cs="Arial" w:ascii="Arial" w:hAnsi="Arial"/>
          <w:b/>
          <w:szCs w:val="24"/>
        </w:rPr>
        <w:t>PART 1</w:t>
      </w:r>
    </w:p>
    <w:tbl>
      <w:tblPr>
        <w:tblW w:w="9532" w:type="dxa"/>
        <w:jc w:val="left"/>
        <w:tblInd w:w="-105" w:type="dxa"/>
        <w:tblCellMar>
          <w:top w:w="0" w:type="dxa"/>
          <w:left w:w="108" w:type="dxa"/>
          <w:bottom w:w="0" w:type="dxa"/>
          <w:right w:w="108" w:type="dxa"/>
        </w:tblCellMar>
        <w:tblLook w:val="0000" w:noHBand="0" w:noVBand="0" w:firstColumn="0" w:lastRow="0" w:lastColumn="0" w:firstRow="0"/>
      </w:tblPr>
      <w:tblGrid>
        <w:gridCol w:w="2941"/>
        <w:gridCol w:w="710"/>
        <w:gridCol w:w="1135"/>
        <w:gridCol w:w="541"/>
        <w:gridCol w:w="1081"/>
        <w:gridCol w:w="78"/>
        <w:gridCol w:w="1361"/>
        <w:gridCol w:w="1685"/>
      </w:tblGrid>
      <w:tr>
        <w:trPr/>
        <w:tc>
          <w:tcPr>
            <w:tcW w:w="9532" w:type="dxa"/>
            <w:gridSpan w:val="8"/>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1a.   Personal details</w:t>
            </w:r>
          </w:p>
        </w:tc>
      </w:tr>
      <w:tr>
        <w:trPr>
          <w:trHeight w:val="483" w:hRule="atLeast"/>
        </w:trPr>
        <w:tc>
          <w:tcPr>
            <w:tcW w:w="294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Full name</w:t>
            </w:r>
          </w:p>
        </w:tc>
        <w:tc>
          <w:tcPr>
            <w:tcW w:w="710"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Title</w:t>
            </w:r>
          </w:p>
          <w:p>
            <w:pPr>
              <w:pStyle w:val="Normal"/>
              <w:rPr>
                <w:rFonts w:ascii="Arial" w:hAnsi="Arial" w:cs="Arial"/>
                <w:szCs w:val="24"/>
              </w:rPr>
            </w:pPr>
            <w:r>
              <w:rPr>
                <w:rFonts w:cs="Arial" w:ascii="Arial" w:hAnsi="Arial"/>
                <w:szCs w:val="24"/>
              </w:rPr>
              <w:t>Dr</w:t>
            </w:r>
          </w:p>
        </w:tc>
        <w:tc>
          <w:tcPr>
            <w:tcW w:w="1135"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First name</w:t>
            </w:r>
          </w:p>
          <w:p>
            <w:pPr>
              <w:pStyle w:val="Normal"/>
              <w:rPr>
                <w:rFonts w:ascii="Arial" w:hAnsi="Arial" w:cs="Arial"/>
                <w:szCs w:val="24"/>
              </w:rPr>
            </w:pPr>
            <w:r>
              <w:rPr>
                <w:rFonts w:cs="Arial" w:ascii="Arial" w:hAnsi="Arial"/>
                <w:szCs w:val="24"/>
              </w:rPr>
              <w:t>Miles</w:t>
            </w:r>
          </w:p>
        </w:tc>
        <w:tc>
          <w:tcPr>
            <w:tcW w:w="1700" w:type="dxa"/>
            <w:gridSpan w:val="3"/>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Second name(s)</w:t>
            </w:r>
          </w:p>
          <w:p>
            <w:pPr>
              <w:pStyle w:val="Normal"/>
              <w:rPr>
                <w:rFonts w:ascii="Arial" w:hAnsi="Arial" w:cs="Arial"/>
                <w:szCs w:val="24"/>
              </w:rPr>
            </w:pPr>
            <w:r>
              <w:rPr>
                <w:rFonts w:cs="Arial" w:ascii="Arial" w:hAnsi="Arial"/>
                <w:szCs w:val="24"/>
              </w:rPr>
              <w:t>C.</w:t>
            </w:r>
          </w:p>
        </w:tc>
        <w:tc>
          <w:tcPr>
            <w:tcW w:w="30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vertAlign w:val="superscript"/>
              </w:rPr>
              <w:t>Family name</w:t>
            </w:r>
          </w:p>
          <w:p>
            <w:pPr>
              <w:pStyle w:val="Normal"/>
              <w:rPr>
                <w:rFonts w:ascii="Arial" w:hAnsi="Arial" w:cs="Arial"/>
                <w:szCs w:val="24"/>
              </w:rPr>
            </w:pPr>
            <w:r>
              <w:rPr>
                <w:rFonts w:cs="Arial" w:ascii="Arial" w:hAnsi="Arial"/>
                <w:szCs w:val="24"/>
              </w:rPr>
              <w:t>Benton</w:t>
            </w:r>
          </w:p>
        </w:tc>
      </w:tr>
      <w:tr>
        <w:trPr/>
        <w:tc>
          <w:tcPr>
            <w:tcW w:w="294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Present position</w:t>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Senior Scientist Bioinformatics / Computational Genomics</w:t>
            </w:r>
          </w:p>
        </w:tc>
      </w:tr>
      <w:tr>
        <w:trPr>
          <w:trHeight w:val="139" w:hRule="atLeast"/>
        </w:trPr>
        <w:tc>
          <w:tcPr>
            <w:tcW w:w="294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Organisation/Employer</w:t>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Institute of Environmental Science and Research, NZ</w:t>
            </w:r>
          </w:p>
        </w:tc>
      </w:tr>
      <w:tr>
        <w:trPr>
          <w:trHeight w:val="275" w:hRule="atLeast"/>
          <w:cantSplit w:val="true"/>
        </w:trPr>
        <w:tc>
          <w:tcPr>
            <w:tcW w:w="2941"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Contact Address</w:t>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Health, Biomarkers Team</w:t>
              <w:tab/>
              <w:tab/>
            </w:r>
          </w:p>
        </w:tc>
      </w:tr>
      <w:tr>
        <w:trPr>
          <w:trHeight w:val="275" w:hRule="atLeast"/>
          <w:cantSplit w:val="true"/>
        </w:trPr>
        <w:tc>
          <w:tcPr>
            <w:tcW w:w="2941"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 xml:space="preserve">Kenepuru Science Centre, 34 Kenepuru Drive, Kenepuru, Porirua </w:t>
            </w:r>
          </w:p>
        </w:tc>
      </w:tr>
      <w:tr>
        <w:trPr>
          <w:trHeight w:val="275" w:hRule="atLeast"/>
          <w:cantSplit w:val="true"/>
        </w:trPr>
        <w:tc>
          <w:tcPr>
            <w:tcW w:w="2941"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3467" w:type="dxa"/>
            <w:gridSpan w:val="4"/>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b/>
                <w:b/>
                <w:szCs w:val="24"/>
              </w:rPr>
            </w:pPr>
            <w:r>
              <w:rPr>
                <w:rFonts w:cs="Arial" w:ascii="Arial" w:hAnsi="Arial"/>
                <w:b/>
                <w:szCs w:val="24"/>
              </w:rPr>
            </w:r>
          </w:p>
        </w:tc>
        <w:tc>
          <w:tcPr>
            <w:tcW w:w="1439" w:type="dxa"/>
            <w:gridSpan w:val="2"/>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Post code</w:t>
            </w:r>
          </w:p>
        </w:tc>
        <w:tc>
          <w:tcPr>
            <w:tcW w:w="168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5022</w:t>
            </w:r>
          </w:p>
        </w:tc>
      </w:tr>
      <w:tr>
        <w:trPr/>
        <w:tc>
          <w:tcPr>
            <w:tcW w:w="2941" w:type="dxa"/>
            <w:tcBorders>
              <w:top w:val="single" w:sz="4" w:space="0" w:color="000000"/>
              <w:left w:val="single" w:sz="4" w:space="0" w:color="000000"/>
              <w:bottom w:val="single" w:sz="4" w:space="0" w:color="000000"/>
            </w:tcBorders>
            <w:shd w:color="auto" w:fill="E0E0E0" w:val="clear"/>
          </w:tcPr>
          <w:p>
            <w:pPr>
              <w:pStyle w:val="Normal"/>
              <w:jc w:val="both"/>
              <w:rPr>
                <w:rFonts w:ascii="Arial" w:hAnsi="Arial" w:cs="Arial"/>
                <w:szCs w:val="24"/>
              </w:rPr>
            </w:pPr>
            <w:r>
              <w:rPr>
                <w:rFonts w:cs="Arial" w:ascii="Arial" w:hAnsi="Arial"/>
                <w:b/>
                <w:szCs w:val="24"/>
              </w:rPr>
              <w:t>Work telephone</w:t>
            </w:r>
          </w:p>
        </w:tc>
        <w:tc>
          <w:tcPr>
            <w:tcW w:w="2386" w:type="dxa"/>
            <w:gridSpan w:val="3"/>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t>+64 21 247 222 9</w:t>
            </w:r>
          </w:p>
        </w:tc>
        <w:tc>
          <w:tcPr>
            <w:tcW w:w="108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Mobile</w:t>
            </w:r>
          </w:p>
        </w:tc>
        <w:tc>
          <w:tcPr>
            <w:tcW w:w="312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+64 21 247 222 9</w:t>
            </w:r>
          </w:p>
        </w:tc>
      </w:tr>
      <w:tr>
        <w:trPr/>
        <w:tc>
          <w:tcPr>
            <w:tcW w:w="294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Email</w:t>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szCs w:val="24"/>
              </w:rPr>
            </w:pPr>
            <w:hyperlink r:id="rId2">
              <w:r>
                <w:rPr>
                  <w:rStyle w:val="InternetLink"/>
                  <w:rFonts w:cs="Arial" w:ascii="Arial" w:hAnsi="Arial"/>
                  <w:szCs w:val="24"/>
                </w:rPr>
                <w:t>miles.benton84@gmail.com</w:t>
              </w:r>
            </w:hyperlink>
            <w:r>
              <w:rPr>
                <w:rFonts w:cs="Arial" w:ascii="Arial" w:hAnsi="Arial"/>
                <w:szCs w:val="24"/>
              </w:rPr>
              <w:t xml:space="preserve">; </w:t>
            </w:r>
            <w:hyperlink r:id="rId3">
              <w:r>
                <w:rPr>
                  <w:rStyle w:val="InternetLink"/>
                  <w:rFonts w:cs="Arial" w:ascii="Arial" w:hAnsi="Arial"/>
                  <w:szCs w:val="24"/>
                </w:rPr>
                <w:t>miles.benton@esr.cri.nz</w:t>
              </w:r>
            </w:hyperlink>
          </w:p>
        </w:tc>
      </w:tr>
      <w:tr>
        <w:trPr/>
        <w:tc>
          <w:tcPr>
            <w:tcW w:w="2941"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Personal website</w:t>
            </w:r>
          </w:p>
        </w:tc>
        <w:tc>
          <w:tcPr>
            <w:tcW w:w="6591"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szCs w:val="24"/>
              </w:rPr>
            </w:pPr>
            <w:r>
              <w:rPr>
                <w:rFonts w:cs="Arial" w:ascii="Arial" w:hAnsi="Arial"/>
                <w:szCs w:val="24"/>
              </w:rPr>
              <w:t>http://sirselim.github.io/</w:t>
            </w:r>
          </w:p>
        </w:tc>
      </w:tr>
    </w:tbl>
    <w:p>
      <w:pPr>
        <w:pStyle w:val="Normal"/>
        <w:rPr>
          <w:rFonts w:ascii="Arial" w:hAnsi="Arial" w:cs="Arial"/>
          <w:szCs w:val="24"/>
        </w:rPr>
      </w:pPr>
      <w:r>
        <w:rPr>
          <w:rFonts w:cs="Arial" w:ascii="Arial" w:hAnsi="Arial"/>
          <w:szCs w:val="24"/>
        </w:rPr>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1b.   Academic qualifications</w:t>
            </w:r>
          </w:p>
        </w:tc>
      </w:tr>
    </w:tbl>
    <w:p>
      <w:pPr>
        <w:pStyle w:val="Normal"/>
        <w:spacing w:before="120" w:after="0"/>
        <w:rPr>
          <w:rFonts w:ascii="Arial" w:hAnsi="Arial" w:cs="Arial"/>
          <w:szCs w:val="24"/>
        </w:rPr>
      </w:pPr>
      <w:r>
        <w:rPr>
          <w:rFonts w:cs="Arial" w:ascii="Arial" w:hAnsi="Arial"/>
          <w:szCs w:val="24"/>
        </w:rPr>
        <w:t>2014</w:t>
        <w:tab/>
        <w:t>PhD</w:t>
        <w:tab/>
        <w:tab/>
        <w:t>“Identification of Susceptibility Genes</w:t>
        <w:tab/>
        <w:t>School of Medical Sciences,</w:t>
      </w:r>
    </w:p>
    <w:p>
      <w:pPr>
        <w:pStyle w:val="Normal"/>
        <w:rPr>
          <w:rFonts w:ascii="Arial" w:hAnsi="Arial" w:cs="Arial"/>
          <w:szCs w:val="24"/>
        </w:rPr>
      </w:pPr>
      <w:r>
        <w:rPr>
          <w:rFonts w:cs="Arial" w:ascii="Arial" w:hAnsi="Arial"/>
          <w:szCs w:val="24"/>
        </w:rPr>
        <w:tab/>
        <w:tab/>
        <w:tab/>
        <w:t xml:space="preserve">for Metabolic Syndrome in the Isolated </w:t>
        <w:tab/>
        <w:t>Griffith University, QLD, AUS</w:t>
        <w:tab/>
        <w:tab/>
        <w:tab/>
        <w:t>Population of Norfolk Island”</w:t>
      </w:r>
    </w:p>
    <w:p>
      <w:pPr>
        <w:pStyle w:val="Normal"/>
        <w:rPr>
          <w:rFonts w:ascii="Arial" w:hAnsi="Arial" w:cs="Arial"/>
          <w:szCs w:val="24"/>
        </w:rPr>
      </w:pPr>
      <w:r>
        <w:rPr>
          <w:rFonts w:cs="Arial" w:ascii="Arial" w:hAnsi="Arial"/>
          <w:szCs w:val="24"/>
        </w:rPr>
        <w:t>2009</w:t>
        <w:tab/>
        <w:t>MSc</w:t>
        <w:tab/>
        <w:tab/>
        <w:t>Biomedical Science / Bioinformatics</w:t>
        <w:tab/>
        <w:t>Victoria University of</w:t>
      </w:r>
    </w:p>
    <w:p>
      <w:pPr>
        <w:pStyle w:val="Normal"/>
        <w:ind w:left="1440" w:firstLine="720"/>
        <w:rPr>
          <w:rFonts w:ascii="Arial" w:hAnsi="Arial" w:cs="Arial"/>
          <w:szCs w:val="24"/>
        </w:rPr>
      </w:pPr>
      <w:r>
        <w:rPr>
          <w:rFonts w:eastAsia="Arial" w:cs="Arial" w:ascii="Arial" w:hAnsi="Arial"/>
          <w:iCs/>
          <w:szCs w:val="24"/>
        </w:rPr>
        <w:t>“</w:t>
      </w:r>
      <w:r>
        <w:rPr>
          <w:rFonts w:cs="Arial" w:ascii="Arial" w:hAnsi="Arial"/>
          <w:iCs/>
          <w:szCs w:val="24"/>
        </w:rPr>
        <w:t>Mitochondrial Genome Variation and</w:t>
      </w:r>
      <w:r>
        <w:rPr>
          <w:rFonts w:cs="Arial" w:ascii="Arial" w:hAnsi="Arial"/>
          <w:szCs w:val="24"/>
        </w:rPr>
        <w:t xml:space="preserve"> </w:t>
        <w:tab/>
        <w:t>Wellington, NZ</w:t>
      </w:r>
    </w:p>
    <w:p>
      <w:pPr>
        <w:pStyle w:val="Normal"/>
        <w:ind w:left="1440" w:firstLine="720"/>
        <w:rPr>
          <w:rFonts w:ascii="Arial" w:hAnsi="Arial" w:cs="Arial"/>
          <w:szCs w:val="24"/>
        </w:rPr>
      </w:pPr>
      <w:r>
        <w:rPr>
          <w:rFonts w:cs="Arial" w:ascii="Arial" w:hAnsi="Arial"/>
          <w:iCs/>
          <w:szCs w:val="24"/>
        </w:rPr>
        <w:t>Metabolic Traits in a Maori Community”</w:t>
      </w:r>
      <w:r>
        <w:rPr>
          <w:rFonts w:cs="Arial" w:ascii="Arial" w:hAnsi="Arial"/>
          <w:szCs w:val="24"/>
        </w:rPr>
        <w:tab/>
      </w:r>
    </w:p>
    <w:p>
      <w:pPr>
        <w:pStyle w:val="Normal"/>
        <w:rPr>
          <w:rFonts w:ascii="Arial" w:hAnsi="Arial" w:cs="Arial"/>
          <w:szCs w:val="24"/>
        </w:rPr>
      </w:pPr>
      <w:r>
        <w:rPr>
          <w:rFonts w:cs="Arial" w:ascii="Arial" w:hAnsi="Arial"/>
          <w:szCs w:val="24"/>
        </w:rPr>
        <w:t>2007</w:t>
        <w:tab/>
        <w:t>BBMedSc</w:t>
        <w:tab/>
        <w:t xml:space="preserve">Biomedical Science </w:t>
        <w:tab/>
        <w:tab/>
        <w:tab/>
        <w:t>Victoria University of</w:t>
      </w:r>
    </w:p>
    <w:p>
      <w:pPr>
        <w:pStyle w:val="Normal"/>
        <w:spacing w:before="0" w:after="120"/>
        <w:ind w:left="1440" w:firstLine="720"/>
        <w:rPr>
          <w:rFonts w:ascii="Arial" w:hAnsi="Arial" w:cs="Arial"/>
          <w:szCs w:val="24"/>
        </w:rPr>
      </w:pPr>
      <w:r>
        <w:rPr>
          <w:rFonts w:cs="Arial" w:ascii="Arial" w:hAnsi="Arial"/>
          <w:szCs w:val="24"/>
        </w:rPr>
        <w:t>(Human Genetics, Molecular Pathology)</w:t>
        <w:tab/>
        <w:t>Wellington, NZ</w:t>
      </w:r>
    </w:p>
    <w:tbl>
      <w:tblPr>
        <w:tblW w:w="9501" w:type="dxa"/>
        <w:jc w:val="left"/>
        <w:tblInd w:w="-105" w:type="dxa"/>
        <w:tblCellMar>
          <w:top w:w="0" w:type="dxa"/>
          <w:left w:w="108" w:type="dxa"/>
          <w:bottom w:w="0" w:type="dxa"/>
          <w:right w:w="108" w:type="dxa"/>
        </w:tblCellMar>
        <w:tblLook w:val="0000" w:noHBand="0" w:noVBand="0" w:firstColumn="0" w:lastRow="0" w:lastColumn="0" w:firstRow="0"/>
      </w:tblPr>
      <w:tblGrid>
        <w:gridCol w:w="9501"/>
      </w:tblGrid>
      <w:tr>
        <w:trPr/>
        <w:tc>
          <w:tcPr>
            <w:tcW w:w="9501"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1c.   Professional positions held</w:t>
            </w:r>
          </w:p>
        </w:tc>
      </w:tr>
    </w:tbl>
    <w:p>
      <w:pPr>
        <w:pStyle w:val="Normal"/>
        <w:spacing w:before="57" w:after="57"/>
        <w:ind w:left="2127" w:hanging="2127"/>
        <w:jc w:val="both"/>
        <w:rPr>
          <w:rFonts w:ascii="Arial" w:hAnsi="Arial" w:cs="Arial"/>
          <w:szCs w:val="24"/>
        </w:rPr>
      </w:pPr>
      <w:r>
        <w:rPr>
          <w:rFonts w:cs="Arial" w:ascii="Arial" w:hAnsi="Arial"/>
          <w:szCs w:val="24"/>
        </w:rPr>
        <w:t xml:space="preserve">2019 – present </w:t>
        <w:tab/>
        <w:t>Genomics Aotearoa, Bioinformatics Leadership Team (Health)</w:t>
      </w:r>
    </w:p>
    <w:p>
      <w:pPr>
        <w:pStyle w:val="Normal"/>
        <w:spacing w:before="57" w:after="57"/>
        <w:ind w:left="2127" w:hanging="2127"/>
        <w:jc w:val="both"/>
        <w:rPr>
          <w:rFonts w:ascii="Arial" w:hAnsi="Arial" w:cs="Arial"/>
          <w:szCs w:val="24"/>
        </w:rPr>
      </w:pPr>
      <w:r>
        <w:rPr>
          <w:rFonts w:cs="Arial" w:ascii="Arial" w:hAnsi="Arial"/>
          <w:szCs w:val="24"/>
        </w:rPr>
        <w:t>2018 – present</w:t>
        <w:tab/>
        <w:t>Senior Scientist (Data Science / Bioinformatics), Institute of Environmental Science and Research (ESR), Porirua, NZ</w:t>
      </w:r>
    </w:p>
    <w:p>
      <w:pPr>
        <w:pStyle w:val="Normal"/>
        <w:spacing w:before="57" w:after="57"/>
        <w:ind w:left="2127" w:hanging="2127"/>
        <w:jc w:val="both"/>
        <w:rPr>
          <w:rFonts w:ascii="Arial" w:hAnsi="Arial" w:cs="Arial"/>
          <w:szCs w:val="24"/>
        </w:rPr>
      </w:pPr>
      <w:r>
        <w:rPr>
          <w:rFonts w:cs="Arial" w:ascii="Arial" w:hAnsi="Arial"/>
          <w:szCs w:val="24"/>
        </w:rPr>
        <w:t>2014 – June 2018</w:t>
        <w:tab/>
        <w:t>Postdoctural Research Fellow, Queensland University of Technology, Brisbane, AUS</w:t>
      </w:r>
    </w:p>
    <w:p>
      <w:pPr>
        <w:pStyle w:val="Normal"/>
        <w:spacing w:before="57" w:after="57"/>
        <w:ind w:left="2127" w:hanging="2127"/>
        <w:jc w:val="both"/>
        <w:rPr>
          <w:rFonts w:ascii="Arial" w:hAnsi="Arial" w:cs="Arial"/>
          <w:szCs w:val="24"/>
        </w:rPr>
      </w:pPr>
      <w:r>
        <w:rPr>
          <w:rFonts w:cs="Arial" w:ascii="Arial" w:hAnsi="Arial"/>
          <w:szCs w:val="24"/>
        </w:rPr>
        <w:t>2011 – present</w:t>
        <w:tab/>
        <w:t>Part-time Lecturer for Research Preparation Course (CLNR-580), School of Biological Sciences, Victoria University of Wellington, NZ</w:t>
      </w:r>
    </w:p>
    <w:p>
      <w:pPr>
        <w:pStyle w:val="Normal"/>
        <w:spacing w:before="57" w:after="57"/>
        <w:ind w:left="2127" w:hanging="2127"/>
        <w:jc w:val="both"/>
        <w:rPr>
          <w:rFonts w:ascii="Arial" w:hAnsi="Arial" w:cs="Arial"/>
          <w:szCs w:val="24"/>
        </w:rPr>
      </w:pPr>
      <w:r>
        <w:rPr>
          <w:rFonts w:cs="Arial" w:ascii="Arial" w:hAnsi="Arial"/>
          <w:szCs w:val="24"/>
        </w:rPr>
        <w:t>2010 – present</w:t>
        <w:tab/>
        <w:t xml:space="preserve">Part-time Lecturer for Science and Ethics Course (BMSC 406), School of Biological Sciences, Victoria University of Wellington, NZ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1d.   Present research/professional speciality</w:t>
            </w:r>
          </w:p>
        </w:tc>
      </w:tr>
    </w:tbl>
    <w:p>
      <w:pPr>
        <w:pStyle w:val="Normal"/>
        <w:spacing w:before="119" w:after="227"/>
        <w:jc w:val="both"/>
        <w:rPr>
          <w:rFonts w:ascii="Arial" w:hAnsi="Arial" w:cs="Arial"/>
          <w:szCs w:val="24"/>
        </w:rPr>
      </w:pPr>
      <w:r>
        <w:rPr>
          <w:rFonts w:cs="Arial" w:ascii="Arial" w:hAnsi="Arial"/>
          <w:szCs w:val="24"/>
        </w:rPr>
        <w:t xml:space="preserve">My current role is as a Senior Scientist at ESR. I have extensive experience in computational genomics and bioinformatics, specialising in human health genomics. I completed a post doc at Queensland University of Technology (Brisbane, Australia) working on the development of methods to deal with ever expanding genomic data sets and their access and interpretation back to the people that matter (i.e. clients, clinicians, researchers, public, etc). Part of my role at ESR has been implementing deep learning techniques in several key genomic areas, including clinical variant calling/identification and base-calling of DNA sequence data. I am also leading the development of machine learning/AI technology on portable Nvidia modules for field/remote deployment and use. In May 2019 I was appointed to the Genomics Aoteoroa Bioinformatics Leadership Team, where I am responsible for overseeing bioinformatics support for health projects across New Zealand. I am also heavily involved in the Data Carpentries as an instructor and facilitator, and am also a mentor on ESR's data science accelerator programme. </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5582"/>
        <w:gridCol w:w="3915"/>
      </w:tblGrid>
      <w:tr>
        <w:trPr/>
        <w:tc>
          <w:tcPr>
            <w:tcW w:w="5582" w:type="dxa"/>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1e.   Total years research experience</w:t>
            </w:r>
          </w:p>
        </w:tc>
        <w:tc>
          <w:tcPr>
            <w:tcW w:w="3915"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right"/>
              <w:rPr>
                <w:rFonts w:ascii="Arial" w:hAnsi="Arial" w:cs="Arial"/>
                <w:szCs w:val="24"/>
              </w:rPr>
            </w:pPr>
            <w:r>
              <w:rPr>
                <w:rFonts w:eastAsia="Arial" w:cs="Arial" w:ascii="Arial" w:hAnsi="Arial"/>
                <w:szCs w:val="24"/>
              </w:rPr>
              <w:t xml:space="preserve">  </w:t>
            </w:r>
            <w:r>
              <w:rPr>
                <w:rFonts w:eastAsia="Arial" w:cs="Arial" w:ascii="Arial" w:hAnsi="Arial"/>
                <w:szCs w:val="24"/>
              </w:rPr>
              <w:t xml:space="preserve">6 </w:t>
            </w:r>
            <w:r>
              <w:rPr>
                <w:rFonts w:cs="Arial" w:ascii="Arial" w:hAnsi="Arial"/>
                <w:szCs w:val="24"/>
              </w:rPr>
              <w:t>years (post PhD)</w:t>
            </w:r>
          </w:p>
        </w:tc>
      </w:tr>
      <w:tr>
        <w:trPr/>
        <w:tc>
          <w:tcPr>
            <w:tcW w:w="9497" w:type="dxa"/>
            <w:gridSpan w:val="2"/>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1f.   Professional distinctions and memberships (including honours, prizes, scholarships, boards or governance roles, etc)</w:t>
            </w:r>
          </w:p>
        </w:tc>
      </w:tr>
    </w:tbl>
    <w:p>
      <w:pPr>
        <w:pStyle w:val="Normal"/>
        <w:spacing w:before="60" w:after="0"/>
        <w:ind w:left="2127" w:hanging="2127"/>
        <w:jc w:val="both"/>
        <w:rPr>
          <w:rFonts w:ascii="Arial" w:hAnsi="Arial" w:cs="Arial"/>
          <w:szCs w:val="24"/>
        </w:rPr>
      </w:pPr>
      <w:r>
        <w:rPr>
          <w:rFonts w:cs="Arial" w:ascii="Arial" w:hAnsi="Arial"/>
          <w:b/>
          <w:szCs w:val="24"/>
        </w:rPr>
        <w:t>Research Grants</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Strategic Science Investment Funding: </w:t>
      </w:r>
      <w:r>
        <w:rPr>
          <w:rFonts w:cs="Arial" w:ascii="Arial" w:hAnsi="Arial"/>
          <w:i/>
          <w:szCs w:val="24"/>
        </w:rPr>
        <w:t>Clinically Relevant Human Genomics at ESR</w:t>
      </w:r>
    </w:p>
    <w:p>
      <w:pPr>
        <w:pStyle w:val="Normal"/>
        <w:spacing w:before="0" w:after="120"/>
        <w:ind w:left="2127" w:hanging="2127"/>
        <w:jc w:val="both"/>
        <w:rPr>
          <w:rFonts w:ascii="Arial" w:hAnsi="Arial" w:cs="Arial"/>
          <w:szCs w:val="24"/>
        </w:rPr>
      </w:pPr>
      <w:r>
        <w:rPr>
          <w:rFonts w:cs="Arial" w:ascii="Arial" w:hAnsi="Arial"/>
          <w:szCs w:val="24"/>
        </w:rPr>
        <w:t>2019</w:t>
        <w:tab/>
        <w:t xml:space="preserve">PI, ESR Pioneer Funding: </w:t>
      </w:r>
      <w:r>
        <w:rPr>
          <w:rFonts w:cs="Arial" w:ascii="Arial" w:hAnsi="Arial"/>
          <w:i/>
          <w:szCs w:val="24"/>
        </w:rPr>
        <w:t>Growing ESRs genomics reputation – compiling and refining a eukaryotic reference genome</w:t>
      </w:r>
    </w:p>
    <w:p>
      <w:pPr>
        <w:pStyle w:val="Normal"/>
        <w:spacing w:before="0" w:after="120"/>
        <w:ind w:left="2127" w:hanging="2127"/>
        <w:jc w:val="both"/>
        <w:rPr>
          <w:rFonts w:ascii="Arial" w:hAnsi="Arial" w:cs="Arial"/>
          <w:szCs w:val="24"/>
        </w:rPr>
      </w:pPr>
      <w:r>
        <w:rPr>
          <w:rFonts w:cs="Arial" w:ascii="Arial" w:hAnsi="Arial"/>
          <w:szCs w:val="24"/>
        </w:rPr>
        <w:t>2015</w:t>
        <w:tab/>
        <w:t xml:space="preserve">PI, Wellington Medical Research Foundation: </w:t>
      </w:r>
      <w:r>
        <w:rPr>
          <w:rFonts w:cs="Arial" w:ascii="Arial" w:hAnsi="Arial"/>
          <w:i/>
          <w:szCs w:val="24"/>
        </w:rPr>
        <w:t>Validation of Blood Cell Lineage Specific DNA methylation markers</w:t>
      </w:r>
    </w:p>
    <w:p>
      <w:pPr>
        <w:pStyle w:val="Normal"/>
        <w:spacing w:before="120" w:after="120"/>
        <w:jc w:val="both"/>
        <w:rPr>
          <w:rFonts w:ascii="Arial" w:hAnsi="Arial" w:cs="Arial"/>
          <w:szCs w:val="24"/>
        </w:rPr>
      </w:pPr>
      <w:r>
        <w:rPr>
          <w:rFonts w:cs="Arial" w:ascii="Arial" w:hAnsi="Arial"/>
          <w:b/>
          <w:szCs w:val="24"/>
        </w:rPr>
        <w:t>Honours and Distinctions</w:t>
      </w:r>
    </w:p>
    <w:p>
      <w:pPr>
        <w:pStyle w:val="Normal"/>
        <w:ind w:left="2127" w:hanging="2127"/>
        <w:jc w:val="both"/>
        <w:rPr>
          <w:rFonts w:ascii="Arial" w:hAnsi="Arial" w:cs="Arial"/>
          <w:szCs w:val="24"/>
        </w:rPr>
      </w:pPr>
      <w:r>
        <w:rPr>
          <w:rFonts w:cs="Arial" w:ascii="Arial" w:hAnsi="Arial"/>
          <w:szCs w:val="24"/>
        </w:rPr>
        <w:t>2019</w:t>
        <w:tab/>
        <w:t xml:space="preserve">Mentor – Royal Society Powering Potential  </w:t>
      </w:r>
    </w:p>
    <w:p>
      <w:pPr>
        <w:pStyle w:val="Normal"/>
        <w:ind w:left="2127" w:hanging="2127"/>
        <w:jc w:val="both"/>
        <w:rPr>
          <w:rFonts w:ascii="Arial" w:hAnsi="Arial" w:cs="Arial"/>
          <w:szCs w:val="24"/>
        </w:rPr>
      </w:pPr>
      <w:r>
        <w:rPr>
          <w:rFonts w:cs="Arial" w:ascii="Arial" w:hAnsi="Arial"/>
          <w:szCs w:val="24"/>
        </w:rPr>
        <w:t>2019</w:t>
        <w:tab/>
        <w:t xml:space="preserve">Data Carpentries Instructor </w:t>
      </w:r>
    </w:p>
    <w:p>
      <w:pPr>
        <w:pStyle w:val="Normal"/>
        <w:ind w:left="2127" w:hanging="2127"/>
        <w:jc w:val="both"/>
        <w:rPr>
          <w:rFonts w:ascii="Arial" w:hAnsi="Arial" w:cs="Arial"/>
          <w:szCs w:val="24"/>
        </w:rPr>
      </w:pPr>
      <w:r>
        <w:rPr>
          <w:rFonts w:cs="Arial" w:ascii="Arial" w:hAnsi="Arial"/>
          <w:szCs w:val="24"/>
        </w:rPr>
        <w:t>2017</w:t>
        <w:tab/>
        <w:t>QUT Travel Award</w:t>
      </w:r>
    </w:p>
    <w:p>
      <w:pPr>
        <w:pStyle w:val="Normal"/>
        <w:ind w:left="2127" w:hanging="2127"/>
        <w:jc w:val="both"/>
        <w:rPr>
          <w:rFonts w:ascii="Arial" w:hAnsi="Arial" w:cs="Arial"/>
          <w:szCs w:val="24"/>
        </w:rPr>
      </w:pPr>
      <w:r>
        <w:rPr>
          <w:rFonts w:cs="Arial" w:ascii="Arial" w:hAnsi="Arial"/>
          <w:szCs w:val="24"/>
        </w:rPr>
        <w:t>2016</w:t>
        <w:tab/>
        <w:t>QUT Carla Patterson Award – Best Paper, Early Career Researcher</w:t>
      </w:r>
    </w:p>
    <w:p>
      <w:pPr>
        <w:pStyle w:val="Normal"/>
        <w:ind w:left="2127" w:hanging="2127"/>
        <w:jc w:val="both"/>
        <w:rPr>
          <w:rFonts w:ascii="Arial" w:hAnsi="Arial" w:cs="Arial"/>
          <w:szCs w:val="24"/>
        </w:rPr>
      </w:pPr>
      <w:r>
        <w:rPr>
          <w:rFonts w:cs="Arial" w:ascii="Arial" w:hAnsi="Arial"/>
          <w:szCs w:val="24"/>
        </w:rPr>
        <w:t>2015</w:t>
        <w:tab/>
        <w:t>ESR Vision Best Paper Award</w:t>
      </w:r>
    </w:p>
    <w:p>
      <w:pPr>
        <w:pStyle w:val="Normal"/>
        <w:ind w:left="2127" w:hanging="2127"/>
        <w:jc w:val="both"/>
        <w:rPr>
          <w:rFonts w:ascii="Arial" w:hAnsi="Arial" w:cs="Arial"/>
          <w:szCs w:val="24"/>
        </w:rPr>
      </w:pPr>
      <w:r>
        <w:rPr>
          <w:rFonts w:cs="Arial" w:ascii="Arial" w:hAnsi="Arial"/>
          <w:szCs w:val="24"/>
        </w:rPr>
        <w:t>2014</w:t>
        <w:tab/>
        <w:t>Best Poster Presentation, Genemappers Conference, Barossa Valley Australia</w:t>
      </w:r>
    </w:p>
    <w:p>
      <w:pPr>
        <w:pStyle w:val="Normal"/>
        <w:ind w:left="2127" w:hanging="2127"/>
        <w:jc w:val="both"/>
        <w:rPr>
          <w:rFonts w:ascii="Arial" w:hAnsi="Arial" w:cs="Arial"/>
          <w:szCs w:val="24"/>
        </w:rPr>
      </w:pPr>
      <w:r>
        <w:rPr>
          <w:rFonts w:cs="Arial" w:ascii="Arial" w:hAnsi="Arial"/>
          <w:szCs w:val="24"/>
        </w:rPr>
        <w:t>2012</w:t>
        <w:tab/>
        <w:t xml:space="preserve">Inaugural Grasshopper prize for Scientific Innovation. Wellington Health and Biomedical Research Society annual students and early researchers meeting, Victoria University of Wellington, </w:t>
      </w:r>
    </w:p>
    <w:p>
      <w:pPr>
        <w:pStyle w:val="Normal"/>
        <w:ind w:left="2127" w:hanging="2127"/>
        <w:jc w:val="both"/>
        <w:rPr>
          <w:rFonts w:ascii="Arial" w:hAnsi="Arial" w:cs="Arial"/>
          <w:szCs w:val="24"/>
        </w:rPr>
      </w:pPr>
      <w:r>
        <w:rPr>
          <w:rFonts w:cs="Arial" w:ascii="Arial" w:hAnsi="Arial"/>
          <w:szCs w:val="24"/>
        </w:rPr>
        <w:t>2012</w:t>
        <w:tab/>
        <w:t xml:space="preserve">Best Student </w:t>
      </w:r>
      <w:bookmarkStart w:id="0" w:name="_GoBack"/>
      <w:bookmarkEnd w:id="0"/>
      <w:r>
        <w:rPr>
          <w:rFonts w:cs="Arial" w:ascii="Arial" w:hAnsi="Arial"/>
          <w:szCs w:val="24"/>
        </w:rPr>
        <w:t>Presenter. 2nd Biomarker Discovery Conference, Shoal Bay NSW, Australia</w:t>
      </w:r>
    </w:p>
    <w:p>
      <w:pPr>
        <w:pStyle w:val="Normal"/>
        <w:ind w:left="2127" w:hanging="2127"/>
        <w:jc w:val="both"/>
        <w:rPr>
          <w:rFonts w:ascii="Arial" w:hAnsi="Arial" w:cs="Arial"/>
          <w:szCs w:val="24"/>
        </w:rPr>
      </w:pPr>
      <w:r>
        <w:rPr>
          <w:rFonts w:cs="Arial" w:ascii="Arial" w:hAnsi="Arial"/>
          <w:szCs w:val="24"/>
        </w:rPr>
        <w:t>2010 - 2013</w:t>
        <w:tab/>
        <w:t>Griffith University Higher Degree Research Scholarship 2010-2013.</w:t>
      </w:r>
    </w:p>
    <w:p>
      <w:pPr>
        <w:pStyle w:val="Normal"/>
        <w:spacing w:before="0" w:after="120"/>
        <w:ind w:left="2127" w:hanging="2127"/>
        <w:jc w:val="both"/>
        <w:rPr>
          <w:rFonts w:ascii="Arial" w:hAnsi="Arial" w:cs="Arial"/>
          <w:szCs w:val="24"/>
        </w:rPr>
      </w:pPr>
      <w:r>
        <w:rPr>
          <w:rFonts w:cs="Arial" w:ascii="Arial" w:hAnsi="Arial"/>
          <w:szCs w:val="24"/>
        </w:rPr>
        <w:t>2007 - 2010</w:t>
        <w:tab/>
        <w:t>ESR Masters Research Scholarship</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bCs/>
          <w:szCs w:val="24"/>
        </w:rPr>
        <w:t>Publication Metrics</w:t>
      </w:r>
    </w:p>
    <w:p>
      <w:pPr>
        <w:pStyle w:val="Normal"/>
        <w:ind w:left="2127" w:hanging="2127"/>
        <w:jc w:val="both"/>
        <w:rPr>
          <w:rFonts w:ascii="Arial" w:hAnsi="Arial" w:cs="Arial"/>
          <w:szCs w:val="24"/>
        </w:rPr>
      </w:pPr>
      <w:r>
        <w:rPr>
          <w:rFonts w:cs="Arial" w:ascii="Arial" w:hAnsi="Arial"/>
          <w:szCs w:val="24"/>
        </w:rPr>
        <w:t xml:space="preserve">Google Scholar </w:t>
        <w:tab/>
        <w:t xml:space="preserve">h-index of 16, i10-index of 19 (from </w:t>
      </w:r>
      <w:r>
        <w:rPr>
          <w:rFonts w:cs="Arial" w:ascii="Arial" w:hAnsi="Arial"/>
          <w:sz w:val="24"/>
          <w:szCs w:val="24"/>
          <w:lang w:eastAsia="zh-CN"/>
        </w:rPr>
        <w:t>8</w:t>
      </w:r>
      <w:r>
        <w:rPr>
          <w:rFonts w:eastAsia="Times New Roman" w:cs="Arial" w:ascii="Arial" w:hAnsi="Arial"/>
          <w:color w:val="auto"/>
          <w:kern w:val="0"/>
          <w:sz w:val="24"/>
          <w:szCs w:val="24"/>
          <w:lang w:val="en-NZ" w:eastAsia="zh-CN" w:bidi="ar-SA"/>
        </w:rPr>
        <w:t>30</w:t>
      </w:r>
      <w:r>
        <w:rPr>
          <w:rFonts w:cs="Arial" w:ascii="Arial" w:hAnsi="Arial"/>
          <w:szCs w:val="24"/>
        </w:rPr>
        <w:t xml:space="preserve"> citations)</w:t>
      </w:r>
    </w:p>
    <w:p>
      <w:pPr>
        <w:pStyle w:val="Normal"/>
        <w:ind w:left="2127" w:hanging="2127"/>
        <w:jc w:val="both"/>
        <w:rPr>
          <w:rFonts w:ascii="Arial" w:hAnsi="Arial" w:cs="Arial"/>
          <w:szCs w:val="24"/>
        </w:rPr>
      </w:pPr>
      <w:r>
        <w:rPr>
          <w:rFonts w:cs="Arial" w:ascii="Arial" w:hAnsi="Arial"/>
          <w:szCs w:val="24"/>
        </w:rPr>
        <w:t xml:space="preserve">Scopus </w:t>
        <w:tab/>
        <w:t>h-index of 13 (cited 5</w:t>
      </w:r>
      <w:r>
        <w:rPr>
          <w:rFonts w:cs="Arial" w:ascii="Arial" w:hAnsi="Arial"/>
          <w:sz w:val="24"/>
          <w:szCs w:val="24"/>
          <w:lang w:eastAsia="zh-CN"/>
        </w:rPr>
        <w:t>48</w:t>
      </w:r>
      <w:r>
        <w:rPr>
          <w:rFonts w:cs="Arial" w:ascii="Arial" w:hAnsi="Arial"/>
          <w:szCs w:val="24"/>
        </w:rPr>
        <w:t xml:space="preserve"> times) </w:t>
      </w:r>
    </w:p>
    <w:p>
      <w:pPr>
        <w:pStyle w:val="Normal"/>
        <w:spacing w:before="0" w:after="120"/>
        <w:ind w:left="2127" w:hanging="2127"/>
        <w:jc w:val="both"/>
        <w:rPr>
          <w:rFonts w:ascii="Arial" w:hAnsi="Arial" w:cs="Arial"/>
          <w:szCs w:val="24"/>
        </w:rPr>
      </w:pPr>
      <w:r>
        <w:rPr>
          <w:rFonts w:cs="Arial" w:ascii="Arial" w:hAnsi="Arial"/>
          <w:szCs w:val="24"/>
        </w:rPr>
      </w:r>
    </w:p>
    <w:p>
      <w:pPr>
        <w:pStyle w:val="Normal"/>
        <w:spacing w:before="0" w:after="120"/>
        <w:ind w:left="2127" w:hanging="2127"/>
        <w:jc w:val="both"/>
        <w:rPr>
          <w:rFonts w:ascii="Arial" w:hAnsi="Arial" w:cs="Arial"/>
          <w:szCs w:val="24"/>
        </w:rPr>
      </w:pPr>
      <w:r>
        <w:rPr>
          <w:rFonts w:cs="Arial" w:ascii="Arial" w:hAnsi="Arial"/>
          <w:b/>
          <w:szCs w:val="24"/>
        </w:rPr>
        <w:t>Supervision</w:t>
      </w:r>
    </w:p>
    <w:p>
      <w:pPr>
        <w:pStyle w:val="Normal"/>
        <w:spacing w:before="0" w:after="120"/>
        <w:ind w:left="2127" w:hanging="2127"/>
        <w:jc w:val="both"/>
        <w:rPr>
          <w:rFonts w:ascii="Arial" w:hAnsi="Arial" w:cs="Arial"/>
          <w:szCs w:val="24"/>
        </w:rPr>
      </w:pPr>
      <w:r>
        <w:rPr>
          <w:rFonts w:cs="Arial" w:ascii="Arial" w:hAnsi="Arial"/>
          <w:szCs w:val="24"/>
        </w:rPr>
        <w:t>2018 - present</w:t>
        <w:tab/>
        <w:t>Co-supervisor – 2 PhD students (Otago University/ESR)</w:t>
      </w:r>
    </w:p>
    <w:p>
      <w:pPr>
        <w:pStyle w:val="Normal"/>
        <w:spacing w:before="0" w:after="120"/>
        <w:ind w:left="2127" w:hanging="2127"/>
        <w:jc w:val="both"/>
        <w:rPr>
          <w:rFonts w:ascii="Arial" w:hAnsi="Arial" w:cs="Arial"/>
          <w:szCs w:val="24"/>
        </w:rPr>
      </w:pPr>
      <w:r>
        <w:rPr>
          <w:rFonts w:cs="Arial" w:ascii="Arial" w:hAnsi="Arial"/>
          <w:szCs w:val="24"/>
        </w:rPr>
        <w:tab/>
        <w:t>Supervisor – Bioinformatics Honours Student (QUT) - completed</w:t>
      </w:r>
    </w:p>
    <w:p>
      <w:pPr>
        <w:pStyle w:val="Normal"/>
        <w:spacing w:before="0" w:after="360"/>
        <w:ind w:left="2127" w:hanging="2127"/>
        <w:jc w:val="both"/>
        <w:rPr>
          <w:rFonts w:ascii="Arial" w:hAnsi="Arial" w:cs="Arial"/>
          <w:szCs w:val="24"/>
        </w:rPr>
      </w:pPr>
      <w:r>
        <w:rPr>
          <w:rFonts w:cs="Arial" w:ascii="Arial" w:hAnsi="Arial"/>
          <w:szCs w:val="24"/>
        </w:rPr>
        <w:t>2016</w:t>
        <w:tab/>
        <w:t>Completed QUT Effective Supervisory Practices Level 1</w:t>
      </w:r>
    </w:p>
    <w:p>
      <w:pPr>
        <w:pStyle w:val="Normal"/>
        <w:jc w:val="both"/>
        <w:rPr>
          <w:rFonts w:ascii="Arial" w:hAnsi="Arial" w:cs="Arial"/>
          <w:szCs w:val="24"/>
        </w:rPr>
      </w:pPr>
      <w:r>
        <w:rPr>
          <w:rFonts w:cs="Arial" w:ascii="Arial" w:hAnsi="Arial"/>
          <w:b/>
          <w:szCs w:val="24"/>
        </w:rPr>
        <w:t>Professional Memberships and Related Experience</w:t>
      </w:r>
    </w:p>
    <w:p>
      <w:pPr>
        <w:pStyle w:val="Normal"/>
        <w:spacing w:before="57" w:after="57"/>
        <w:ind w:left="2127" w:hanging="2127"/>
        <w:jc w:val="both"/>
        <w:rPr>
          <w:rFonts w:ascii="Arial" w:hAnsi="Arial" w:cs="Arial"/>
          <w:szCs w:val="24"/>
        </w:rPr>
      </w:pPr>
      <w:r>
        <w:rPr>
          <w:rFonts w:cs="Arial" w:ascii="Arial" w:hAnsi="Arial"/>
          <w:szCs w:val="24"/>
        </w:rPr>
        <w:t xml:space="preserve">2019 – present </w:t>
        <w:tab/>
        <w:t>Member Human Genomics Society of Australasia</w:t>
      </w:r>
    </w:p>
    <w:p>
      <w:pPr>
        <w:pStyle w:val="Normal"/>
        <w:spacing w:before="57" w:after="57"/>
        <w:ind w:left="2127" w:hanging="2127"/>
        <w:jc w:val="both"/>
        <w:rPr>
          <w:rFonts w:ascii="Arial" w:hAnsi="Arial" w:cs="Arial"/>
          <w:szCs w:val="24"/>
        </w:rPr>
      </w:pPr>
      <w:r>
        <w:rPr>
          <w:rFonts w:cs="Arial" w:ascii="Arial" w:hAnsi="Arial"/>
          <w:szCs w:val="24"/>
        </w:rPr>
        <w:t>2015 – present</w:t>
        <w:tab/>
        <w:t>Ad hoc reviewer, Genome Biology, Gene, BMC Medical Genetics, Frontiers in Immunology, Frontiers in Genetics</w:t>
      </w:r>
    </w:p>
    <w:p>
      <w:pPr>
        <w:pStyle w:val="Normal"/>
        <w:spacing w:before="57" w:after="57"/>
        <w:ind w:left="2127" w:hanging="2127"/>
        <w:jc w:val="both"/>
        <w:rPr>
          <w:rFonts w:ascii="Arial" w:hAnsi="Arial" w:cs="Arial"/>
          <w:szCs w:val="24"/>
        </w:rPr>
      </w:pPr>
      <w:r>
        <w:rPr>
          <w:rFonts w:cs="Arial" w:ascii="Arial" w:hAnsi="Arial"/>
          <w:szCs w:val="24"/>
        </w:rPr>
        <w:t>2015 – present</w:t>
        <w:tab/>
        <w:t>Reviewer National Health and Medical Research Council, Australia and Australian Research Council, Australia</w:t>
      </w:r>
    </w:p>
    <w:p>
      <w:pPr>
        <w:pStyle w:val="Normal"/>
        <w:spacing w:before="0" w:after="360"/>
        <w:ind w:left="2127" w:hanging="2127"/>
        <w:jc w:val="both"/>
        <w:rPr>
          <w:rFonts w:ascii="Arial" w:hAnsi="Arial" w:cs="Arial"/>
          <w:szCs w:val="24"/>
        </w:rPr>
      </w:pPr>
      <w:r>
        <w:rPr>
          <w:rFonts w:cs="Arial" w:ascii="Arial" w:hAnsi="Arial"/>
          <w:szCs w:val="24"/>
        </w:rPr>
        <w:t>2014 – present</w:t>
        <w:tab/>
        <w:t>Member Australasian Genomic Technologies Association (AGTA)</w:t>
      </w:r>
    </w:p>
    <w:tbl>
      <w:tblPr>
        <w:tblW w:w="10578" w:type="dxa"/>
        <w:jc w:val="left"/>
        <w:tblInd w:w="-105" w:type="dxa"/>
        <w:tblCellMar>
          <w:top w:w="0" w:type="dxa"/>
          <w:left w:w="108" w:type="dxa"/>
          <w:bottom w:w="0" w:type="dxa"/>
          <w:right w:w="108" w:type="dxa"/>
        </w:tblCellMar>
        <w:tblLook w:val="0000" w:noHBand="0" w:noVBand="0" w:firstColumn="0" w:lastRow="0" w:lastColumn="0" w:firstRow="0"/>
      </w:tblPr>
      <w:tblGrid>
        <w:gridCol w:w="3527"/>
        <w:gridCol w:w="1081"/>
        <w:gridCol w:w="1032"/>
        <w:gridCol w:w="2040"/>
        <w:gridCol w:w="1608"/>
        <w:gridCol w:w="1289"/>
      </w:tblGrid>
      <w:tr>
        <w:trPr>
          <w:cantSplit w:val="true"/>
        </w:trPr>
        <w:tc>
          <w:tcPr>
            <w:tcW w:w="3527" w:type="dxa"/>
            <w:vMerge w:val="restart"/>
            <w:tcBorders>
              <w:top w:val="single" w:sz="4" w:space="0" w:color="000000"/>
              <w:left w:val="single" w:sz="4" w:space="0" w:color="000000"/>
              <w:bottom w:val="single" w:sz="4" w:space="0" w:color="000000"/>
            </w:tcBorders>
            <w:shd w:color="auto" w:fill="E0E0E0" w:val="clear"/>
          </w:tcPr>
          <w:p>
            <w:pPr>
              <w:pStyle w:val="Normal"/>
              <w:rPr>
                <w:rFonts w:ascii="Arial" w:hAnsi="Arial" w:cs="Arial"/>
                <w:szCs w:val="24"/>
              </w:rPr>
            </w:pPr>
            <w:r>
              <w:rPr>
                <w:rFonts w:cs="Arial" w:ascii="Arial" w:hAnsi="Arial"/>
                <w:b/>
                <w:szCs w:val="24"/>
              </w:rPr>
              <w:t xml:space="preserve">1g.   Total number of </w:t>
            </w:r>
            <w:r>
              <w:rPr>
                <w:rFonts w:cs="Arial" w:ascii="Arial" w:hAnsi="Arial"/>
                <w:b/>
                <w:i/>
                <w:szCs w:val="24"/>
              </w:rPr>
              <w:t>peer reviewed</w:t>
            </w:r>
            <w:r>
              <w:rPr>
                <w:rFonts w:cs="Arial" w:ascii="Arial" w:hAnsi="Arial"/>
                <w:b/>
                <w:szCs w:val="24"/>
              </w:rPr>
              <w:t xml:space="preserve"> publications and patents</w:t>
            </w:r>
          </w:p>
        </w:tc>
        <w:tc>
          <w:tcPr>
            <w:tcW w:w="1081"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Journal articles</w:t>
            </w:r>
          </w:p>
        </w:tc>
        <w:tc>
          <w:tcPr>
            <w:tcW w:w="1032"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Books</w:t>
            </w:r>
          </w:p>
        </w:tc>
        <w:tc>
          <w:tcPr>
            <w:tcW w:w="2040"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Book chapters, books edited</w:t>
            </w:r>
          </w:p>
        </w:tc>
        <w:tc>
          <w:tcPr>
            <w:tcW w:w="1608" w:type="dxa"/>
            <w:tcBorders>
              <w:top w:val="single" w:sz="4" w:space="0" w:color="000000"/>
              <w:left w:val="single" w:sz="4" w:space="0" w:color="000000"/>
              <w:bottom w:val="single" w:sz="4" w:space="0" w:color="000000"/>
            </w:tcBorders>
            <w:shd w:color="auto" w:fill="E0E0E0" w:val="clear"/>
          </w:tcPr>
          <w:p>
            <w:pPr>
              <w:pStyle w:val="Normal"/>
              <w:jc w:val="center"/>
              <w:rPr>
                <w:rFonts w:ascii="Arial" w:hAnsi="Arial" w:cs="Arial"/>
                <w:szCs w:val="24"/>
              </w:rPr>
            </w:pPr>
            <w:r>
              <w:rPr>
                <w:rFonts w:cs="Arial" w:ascii="Arial" w:hAnsi="Arial"/>
                <w:szCs w:val="24"/>
              </w:rPr>
              <w:t>Conference proceedings</w:t>
            </w:r>
          </w:p>
        </w:tc>
        <w:tc>
          <w:tcPr>
            <w:tcW w:w="128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rFonts w:ascii="Arial" w:hAnsi="Arial" w:cs="Arial"/>
                <w:szCs w:val="24"/>
              </w:rPr>
            </w:pPr>
            <w:r>
              <w:rPr>
                <w:rFonts w:cs="Arial" w:ascii="Arial" w:hAnsi="Arial"/>
                <w:szCs w:val="24"/>
              </w:rPr>
              <w:t>Patents</w:t>
            </w:r>
          </w:p>
        </w:tc>
      </w:tr>
      <w:tr>
        <w:trPr>
          <w:cantSplit w:val="true"/>
        </w:trPr>
        <w:tc>
          <w:tcPr>
            <w:tcW w:w="3527" w:type="dxa"/>
            <w:vMerge w:val="continue"/>
            <w:tcBorders>
              <w:top w:val="single" w:sz="4" w:space="0" w:color="000000"/>
              <w:left w:val="single" w:sz="4" w:space="0" w:color="000000"/>
              <w:bottom w:val="single" w:sz="4" w:space="0" w:color="000000"/>
            </w:tcBorders>
            <w:shd w:color="auto" w:fill="E0E0E0" w:val="clear"/>
          </w:tcPr>
          <w:p>
            <w:pPr>
              <w:pStyle w:val="Normal"/>
              <w:snapToGrid w:val="false"/>
              <w:rPr>
                <w:rFonts w:ascii="Arial" w:hAnsi="Arial" w:cs="Arial"/>
                <w:b/>
                <w:b/>
                <w:szCs w:val="24"/>
              </w:rPr>
            </w:pPr>
            <w:r>
              <w:rPr>
                <w:rFonts w:cs="Arial" w:ascii="Arial" w:hAnsi="Arial"/>
                <w:b/>
                <w:szCs w:val="24"/>
              </w:rPr>
            </w:r>
          </w:p>
        </w:tc>
        <w:tc>
          <w:tcPr>
            <w:tcW w:w="1081"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 w:val="24"/>
                <w:szCs w:val="24"/>
                <w:lang w:eastAsia="zh-CN"/>
              </w:rPr>
              <w:t>4</w:t>
            </w:r>
            <w:r>
              <w:rPr>
                <w:rFonts w:eastAsia="Times New Roman" w:cs="Arial" w:ascii="Arial" w:hAnsi="Arial"/>
                <w:color w:val="auto"/>
                <w:kern w:val="0"/>
                <w:sz w:val="24"/>
                <w:szCs w:val="24"/>
                <w:lang w:val="en-NZ" w:eastAsia="zh-CN" w:bidi="ar-SA"/>
              </w:rPr>
              <w:t>1</w:t>
            </w:r>
          </w:p>
        </w:tc>
        <w:tc>
          <w:tcPr>
            <w:tcW w:w="1032"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2040" w:type="dxa"/>
            <w:tcBorders>
              <w:top w:val="single" w:sz="4" w:space="0" w:color="000000"/>
              <w:left w:val="single" w:sz="4" w:space="0" w:color="000000"/>
              <w:bottom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c>
          <w:tcPr>
            <w:tcW w:w="1608" w:type="dxa"/>
            <w:tcBorders>
              <w:top w:val="single" w:sz="4" w:space="0" w:color="000000"/>
              <w:left w:val="single" w:sz="4" w:space="0" w:color="000000"/>
              <w:bottom w:val="single" w:sz="4" w:space="0" w:color="000000"/>
            </w:tcBorders>
            <w:shd w:color="auto" w:fill="auto" w:val="clear"/>
          </w:tcPr>
          <w:p>
            <w:pPr>
              <w:pStyle w:val="Normal"/>
              <w:rPr>
                <w:rFonts w:ascii="Arial" w:hAnsi="Arial" w:cs="Arial"/>
                <w:szCs w:val="24"/>
              </w:rPr>
            </w:pPr>
            <w:r>
              <w:rPr>
                <w:rFonts w:cs="Arial" w:ascii="Arial" w:hAnsi="Arial"/>
                <w:szCs w:val="24"/>
              </w:rPr>
              <w:t>38</w:t>
            </w:r>
          </w:p>
        </w:tc>
        <w:tc>
          <w:tcPr>
            <w:tcW w:w="128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rFonts w:ascii="Arial" w:hAnsi="Arial" w:cs="Arial"/>
                <w:szCs w:val="24"/>
              </w:rPr>
            </w:pPr>
            <w:r>
              <w:rPr>
                <w:rFonts w:cs="Arial" w:ascii="Arial" w:hAnsi="Arial"/>
                <w:szCs w:val="24"/>
              </w:rPr>
            </w:r>
          </w:p>
        </w:tc>
      </w:tr>
    </w:tbl>
    <w:p>
      <w:pPr>
        <w:pStyle w:val="Normal"/>
        <w:rPr>
          <w:rFonts w:ascii="Arial" w:hAnsi="Arial" w:cs="Arial"/>
          <w:szCs w:val="24"/>
        </w:rPr>
      </w:pPr>
      <w:r>
        <w:br w:type="page"/>
      </w:r>
      <w:r>
        <w:rPr>
          <w:rFonts w:cs="Arial" w:ascii="Arial" w:hAnsi="Arial"/>
          <w:b/>
          <w:szCs w:val="24"/>
        </w:rPr>
        <w:t>PART 2</w:t>
      </w:r>
    </w:p>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szCs w:val="24"/>
              </w:rPr>
              <w:t xml:space="preserve">2a.   Research publications and dissemination </w:t>
            </w:r>
          </w:p>
        </w:tc>
      </w:tr>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szCs w:val="24"/>
              </w:rPr>
              <w:t>Peer-reviewed journal articles (</w:t>
            </w:r>
            <w:r>
              <w:rPr>
                <w:rFonts w:cs="Arial" w:ascii="Arial" w:hAnsi="Arial"/>
                <w:b/>
                <w:szCs w:val="24"/>
              </w:rPr>
              <w:t>last 5 years</w:t>
            </w:r>
            <w:r>
              <w:rPr>
                <w:rFonts w:cs="Arial" w:ascii="Arial" w:hAnsi="Arial"/>
                <w:szCs w:val="24"/>
              </w:rPr>
              <w:t>)</w:t>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p>
            <w:pPr>
              <w:pStyle w:val="PreformattedText"/>
              <w:spacing w:before="45" w:after="45"/>
              <w:jc w:val="both"/>
              <w:rPr>
                <w:rFonts w:ascii="Arial" w:hAnsi="Arial" w:cs="Arial"/>
                <w:color w:val="000000"/>
                <w:sz w:val="24"/>
                <w:szCs w:val="24"/>
              </w:rPr>
            </w:pPr>
            <w:r>
              <w:rPr>
                <w:rFonts w:cs="Arial" w:ascii="Arial" w:hAnsi="Arial"/>
                <w:color w:val="000000"/>
                <w:sz w:val="24"/>
                <w:szCs w:val="24"/>
              </w:rPr>
              <w:t>Macartney-Coxson D, Danielson K, Clapham J, </w:t>
            </w:r>
            <w:r>
              <w:rPr>
                <w:rStyle w:val="Strong"/>
                <w:rFonts w:cs="Arial" w:ascii="Arial" w:hAnsi="Arial"/>
                <w:color w:val="000000"/>
                <w:sz w:val="24"/>
                <w:szCs w:val="24"/>
              </w:rPr>
              <w:t>Benton MC</w:t>
            </w:r>
            <w:r>
              <w:rPr>
                <w:rFonts w:cs="Arial" w:ascii="Arial" w:hAnsi="Arial"/>
                <w:color w:val="000000"/>
                <w:sz w:val="24"/>
                <w:szCs w:val="24"/>
              </w:rPr>
              <w:t>, Johnstone A, Jones A, Shaw O, Hagan RD, Hoffman EP, Hayes M, Harper J, Langston MA, and Stubbs RS. (</w:t>
            </w:r>
            <w:r>
              <w:rPr>
                <w:rFonts w:cs="Arial" w:ascii="Arial" w:hAnsi="Arial"/>
                <w:b/>
                <w:color w:val="000000"/>
                <w:sz w:val="24"/>
                <w:szCs w:val="24"/>
              </w:rPr>
              <w:t>2020</w:t>
            </w:r>
            <w:r>
              <w:rPr>
                <w:rFonts w:cs="Arial" w:ascii="Arial" w:hAnsi="Arial"/>
                <w:color w:val="000000"/>
                <w:sz w:val="24"/>
                <w:szCs w:val="24"/>
              </w:rPr>
              <w:t xml:space="preserve">) </w:t>
            </w:r>
            <w:r>
              <w:rPr>
                <w:rFonts w:cs="Arial" w:ascii="Arial" w:hAnsi="Arial"/>
                <w:i/>
                <w:color w:val="000000"/>
                <w:sz w:val="24"/>
                <w:szCs w:val="24"/>
              </w:rPr>
              <w:t>MicroRNA profiling in adipose before and after weight-loss highlights the role of miR-223-3p and the NLRP3 inflammasome</w:t>
            </w:r>
            <w:r>
              <w:rPr>
                <w:rFonts w:cs="Arial" w:ascii="Arial" w:hAnsi="Arial"/>
                <w:color w:val="000000"/>
                <w:sz w:val="24"/>
                <w:szCs w:val="24"/>
              </w:rPr>
              <w:t>. </w:t>
            </w:r>
            <w:r>
              <w:rPr>
                <w:rStyle w:val="Emphasis"/>
                <w:rFonts w:cs="Arial" w:ascii="Arial" w:hAnsi="Arial"/>
                <w:i w:val="false"/>
                <w:color w:val="000000"/>
                <w:sz w:val="24"/>
                <w:szCs w:val="24"/>
                <w:u w:val="single"/>
              </w:rPr>
              <w:t>Obesity</w:t>
            </w:r>
            <w:r>
              <w:rPr>
                <w:rFonts w:cs="Arial" w:ascii="Arial" w:hAnsi="Arial"/>
                <w:i/>
                <w:color w:val="000000"/>
                <w:sz w:val="24"/>
                <w:szCs w:val="24"/>
                <w:u w:val="single"/>
              </w:rPr>
              <w:t> </w:t>
            </w:r>
            <w:r>
              <w:rPr>
                <w:rFonts w:cs="Arial" w:ascii="Arial" w:hAnsi="Arial"/>
                <w:color w:val="000000"/>
                <w:sz w:val="24"/>
                <w:szCs w:val="24"/>
              </w:rPr>
              <w:t>(epub 2020)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 xml:space="preserve">Dunn PJ, Maher BH, Albury CL, Stuart S, Sutherland HG, Maksemous N, </w:t>
            </w:r>
            <w:r>
              <w:rPr>
                <w:rStyle w:val="StrongEmphasis"/>
                <w:rFonts w:cs="Arial" w:ascii="Arial" w:hAnsi="Arial"/>
                <w:color w:val="000000"/>
                <w:sz w:val="24"/>
                <w:szCs w:val="24"/>
              </w:rPr>
              <w:t>Benton MC</w:t>
            </w:r>
            <w:r>
              <w:rPr>
                <w:rFonts w:cs="Arial" w:ascii="Arial" w:hAnsi="Arial"/>
                <w:color w:val="000000"/>
                <w:sz w:val="24"/>
                <w:szCs w:val="24"/>
              </w:rPr>
              <w:t>, Smith, RA, Haupt LM, and Griffiths LR. (</w:t>
            </w:r>
            <w:r>
              <w:rPr>
                <w:rFonts w:cs="Arial" w:ascii="Arial" w:hAnsi="Arial"/>
                <w:b/>
                <w:bCs/>
                <w:color w:val="000000"/>
                <w:sz w:val="24"/>
                <w:szCs w:val="24"/>
              </w:rPr>
              <w:t>2020</w:t>
            </w:r>
            <w:r>
              <w:rPr>
                <w:rFonts w:cs="Arial" w:ascii="Arial" w:hAnsi="Arial"/>
                <w:color w:val="000000"/>
                <w:sz w:val="24"/>
                <w:szCs w:val="24"/>
              </w:rPr>
              <w:t xml:space="preserve">) </w:t>
            </w:r>
            <w:r>
              <w:rPr>
                <w:rFonts w:cs="Arial" w:ascii="Arial" w:hAnsi="Arial"/>
                <w:i/>
                <w:iCs/>
                <w:color w:val="000000"/>
                <w:sz w:val="24"/>
                <w:szCs w:val="24"/>
              </w:rPr>
              <w:t>Tiered analysis of whole-exome sequencing for epilepsy diagnosis</w:t>
            </w:r>
            <w:r>
              <w:rPr>
                <w:rFonts w:cs="Arial" w:ascii="Arial" w:hAnsi="Arial"/>
                <w:color w:val="000000"/>
                <w:sz w:val="24"/>
                <w:szCs w:val="24"/>
              </w:rPr>
              <w:t xml:space="preserve">. </w:t>
            </w:r>
            <w:r>
              <w:rPr>
                <w:rStyle w:val="Emphasis"/>
                <w:rFonts w:cs="Arial" w:ascii="Arial" w:hAnsi="Arial"/>
                <w:i w:val="false"/>
                <w:iCs w:val="false"/>
                <w:color w:val="000000"/>
                <w:sz w:val="24"/>
                <w:szCs w:val="24"/>
                <w:u w:val="single"/>
              </w:rPr>
              <w:t>Molecular Genetics and Genomics</w:t>
            </w:r>
            <w:r>
              <w:rPr>
                <w:rFonts w:cs="Arial" w:ascii="Arial" w:hAnsi="Arial"/>
                <w:color w:val="000000"/>
                <w:sz w:val="24"/>
                <w:szCs w:val="24"/>
              </w:rPr>
              <w:t xml:space="preserve"> https://doi.org/10.1007/s00438-020-01657-x</w:t>
            </w:r>
          </w:p>
          <w:p>
            <w:pPr>
              <w:pStyle w:val="PreformattedText"/>
              <w:spacing w:before="45" w:after="45"/>
              <w:jc w:val="both"/>
              <w:rPr>
                <w:rFonts w:ascii="Arial" w:hAnsi="Arial" w:cs="Arial"/>
                <w:color w:val="000000"/>
                <w:sz w:val="24"/>
                <w:szCs w:val="24"/>
              </w:rPr>
            </w:pPr>
            <w:r>
              <w:rPr>
                <w:rFonts w:ascii="Arial" w:hAnsi="Arial"/>
                <w:sz w:val="24"/>
                <w:szCs w:val="24"/>
              </w:rPr>
              <w:t xml:space="preserve">Harvey NR, Voisin S, Lea RA, Yan X, </w:t>
            </w:r>
            <w:r>
              <w:rPr>
                <w:rStyle w:val="StrongEmphasis"/>
                <w:rFonts w:ascii="Arial" w:hAnsi="Arial"/>
                <w:sz w:val="24"/>
                <w:szCs w:val="24"/>
              </w:rPr>
              <w:t>MC Benton</w:t>
            </w:r>
            <w:r>
              <w:rPr>
                <w:rFonts w:ascii="Arial" w:hAnsi="Arial"/>
                <w:sz w:val="24"/>
                <w:szCs w:val="24"/>
              </w:rPr>
              <w:t>, Papadimitriou ID, Jacques M, Haupt LM, Ashton KJ, Eynon N, Griffiths and LR. (</w:t>
            </w:r>
            <w:r>
              <w:rPr>
                <w:rFonts w:ascii="Arial" w:hAnsi="Arial"/>
                <w:b/>
                <w:bCs/>
                <w:sz w:val="24"/>
                <w:szCs w:val="24"/>
              </w:rPr>
              <w:t>2020</w:t>
            </w:r>
            <w:r>
              <w:rPr>
                <w:rFonts w:ascii="Arial" w:hAnsi="Arial"/>
                <w:sz w:val="24"/>
                <w:szCs w:val="24"/>
              </w:rPr>
              <w:t xml:space="preserve">) </w:t>
            </w:r>
            <w:r>
              <w:rPr>
                <w:rFonts w:ascii="Arial" w:hAnsi="Arial"/>
                <w:i/>
                <w:iCs/>
                <w:sz w:val="24"/>
                <w:szCs w:val="24"/>
              </w:rPr>
              <w:t>Identification of novel mitochondrial and mitochondrial related genetic loci associated with exercise response in the Gene SMART study</w:t>
            </w:r>
            <w:r>
              <w:rPr>
                <w:rFonts w:ascii="Arial" w:hAnsi="Arial"/>
                <w:sz w:val="24"/>
                <w:szCs w:val="24"/>
              </w:rPr>
              <w:t xml:space="preserve">. </w:t>
            </w:r>
            <w:r>
              <w:rPr>
                <w:rStyle w:val="Emphasis"/>
                <w:rFonts w:ascii="Arial" w:hAnsi="Arial"/>
                <w:i w:val="false"/>
                <w:iCs w:val="false"/>
                <w:sz w:val="24"/>
                <w:szCs w:val="24"/>
                <w:u w:val="single"/>
              </w:rPr>
              <w:t>biorxiv</w:t>
            </w:r>
            <w:r>
              <w:rPr>
                <w:rFonts w:ascii="Arial" w:hAnsi="Arial"/>
                <w:sz w:val="24"/>
                <w:szCs w:val="24"/>
              </w:rPr>
              <w:t xml:space="preserve"> (DOI: https://doi.org/10.1101/2020.02.20.957340)</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t>Osborne AJ, Pearson JF, Noble AJ, Gemmell NJ, Horwood LJ, Boden JM, </w:t>
            </w:r>
            <w:r>
              <w:rPr>
                <w:rStyle w:val="Strong"/>
                <w:rFonts w:cs="Arial" w:ascii="Arial" w:hAnsi="Arial"/>
                <w:color w:val="000000"/>
                <w:sz w:val="24"/>
                <w:szCs w:val="24"/>
              </w:rPr>
              <w:t>Benton MC</w:t>
            </w:r>
            <w:r>
              <w:rPr>
                <w:rFonts w:cs="Arial" w:ascii="Arial" w:hAnsi="Arial"/>
                <w:color w:val="000000"/>
                <w:sz w:val="24"/>
                <w:szCs w:val="24"/>
              </w:rPr>
              <w:t>, Macartney-Coxson D, and Kennedy MA.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DNA methylation analysis of heavy cannabis exposure in a New Zealand longitudinal cohort</w:t>
            </w:r>
            <w:r>
              <w:rPr>
                <w:rFonts w:cs="Arial" w:ascii="Arial" w:hAnsi="Arial"/>
                <w:color w:val="000000"/>
                <w:sz w:val="24"/>
                <w:szCs w:val="24"/>
              </w:rPr>
              <w:t>. </w:t>
            </w:r>
            <w:r>
              <w:rPr>
                <w:rStyle w:val="Emphasis"/>
                <w:rFonts w:cs="Arial" w:ascii="Arial" w:hAnsi="Arial"/>
                <w:i w:val="false"/>
                <w:color w:val="000000"/>
                <w:sz w:val="24"/>
                <w:szCs w:val="24"/>
                <w:u w:val="single"/>
              </w:rPr>
              <w:t>bioRxiv</w:t>
            </w:r>
            <w:r>
              <w:rPr>
                <w:rFonts w:cs="Arial" w:ascii="Arial" w:hAnsi="Arial"/>
                <w:color w:val="000000"/>
                <w:sz w:val="24"/>
                <w:szCs w:val="24"/>
              </w:rPr>
              <w:t> http://biorxiv.org/content/early/2019/11/07/829598.abstract</w:t>
            </w:r>
          </w:p>
          <w:p>
            <w:pPr>
              <w:pStyle w:val="PreformattedText"/>
              <w:spacing w:before="45" w:after="45"/>
              <w:jc w:val="both"/>
              <w:rPr>
                <w:rStyle w:val="Strong"/>
                <w:rFonts w:ascii="Arial" w:hAnsi="Arial" w:cs="Arial"/>
                <w:color w:val="000000"/>
                <w:sz w:val="24"/>
                <w:szCs w:val="24"/>
              </w:rPr>
            </w:pPr>
            <w:r>
              <w:rPr>
                <w:rFonts w:cs="Arial" w:ascii="Arial" w:hAnsi="Arial"/>
                <w:color w:val="000000"/>
                <w:sz w:val="24"/>
                <w:szCs w:val="24"/>
              </w:rPr>
              <w:t>Harvey NR, Albury CL, Stuart S, </w:t>
            </w:r>
            <w:r>
              <w:rPr>
                <w:rStyle w:val="Strong"/>
                <w:rFonts w:cs="Arial" w:ascii="Arial" w:hAnsi="Arial"/>
                <w:color w:val="000000"/>
                <w:sz w:val="24"/>
                <w:szCs w:val="24"/>
              </w:rPr>
              <w:t>Benton MC</w:t>
            </w:r>
            <w:r>
              <w:rPr>
                <w:rFonts w:cs="Arial" w:ascii="Arial" w:hAnsi="Arial"/>
                <w:color w:val="000000"/>
                <w:sz w:val="24"/>
                <w:szCs w:val="24"/>
              </w:rPr>
              <w:t>, Ecccles DA, Connell J, Sutherland HG, Allcock RJ, Lea RA,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Ion torrent high throughput mitochondrial genome sequencing (HTMGS)</w:t>
            </w:r>
            <w:r>
              <w:rPr>
                <w:rFonts w:cs="Arial" w:ascii="Arial" w:hAnsi="Arial"/>
                <w:color w:val="000000"/>
                <w:sz w:val="24"/>
                <w:szCs w:val="24"/>
              </w:rPr>
              <w:t>. </w:t>
            </w:r>
            <w:r>
              <w:rPr>
                <w:rStyle w:val="Emphasis"/>
                <w:rFonts w:cs="Arial" w:ascii="Arial" w:hAnsi="Arial"/>
                <w:i w:val="false"/>
                <w:color w:val="000000"/>
                <w:sz w:val="24"/>
                <w:szCs w:val="24"/>
                <w:u w:val="single"/>
              </w:rPr>
              <w:t>PLoS ONE</w:t>
            </w:r>
            <w:r>
              <w:rPr>
                <w:rFonts w:cs="Arial" w:ascii="Arial" w:hAnsi="Arial"/>
                <w:color w:val="000000"/>
                <w:sz w:val="24"/>
                <w:szCs w:val="24"/>
              </w:rPr>
              <w:t> 14(11):e0224847</w:t>
            </w:r>
          </w:p>
          <w:p>
            <w:pPr>
              <w:pStyle w:val="PreformattedText"/>
              <w:spacing w:before="45" w:after="45"/>
              <w:jc w:val="both"/>
              <w:rPr>
                <w:rFonts w:ascii="Arial" w:hAnsi="Arial" w:cs="Arial"/>
                <w:b/>
                <w:b/>
                <w:bCs/>
                <w:sz w:val="24"/>
                <w:szCs w:val="24"/>
              </w:rPr>
            </w:pPr>
            <w:r>
              <w:rPr>
                <w:rStyle w:val="Strong"/>
                <w:rFonts w:cs="Arial" w:ascii="Arial" w:hAnsi="Arial"/>
                <w:color w:val="000000"/>
                <w:sz w:val="24"/>
                <w:szCs w:val="24"/>
              </w:rPr>
              <w:t>Benton MC</w:t>
            </w:r>
            <w:r>
              <w:rPr>
                <w:rFonts w:cs="Arial" w:ascii="Arial" w:hAnsi="Arial"/>
                <w:color w:val="000000"/>
                <w:sz w:val="24"/>
                <w:szCs w:val="24"/>
              </w:rPr>
              <w:t>, Lea RA, Macartney-Coxson D, Sutherland HG, White NM, Kennedy DW, Mengersen K, Haupt LM, and Griffiths LR. (</w:t>
            </w:r>
            <w:r>
              <w:rPr>
                <w:rFonts w:cs="Arial" w:ascii="Arial" w:hAnsi="Arial"/>
                <w:b/>
                <w:color w:val="000000"/>
                <w:sz w:val="24"/>
                <w:szCs w:val="24"/>
              </w:rPr>
              <w:t>2019</w:t>
            </w:r>
            <w:r>
              <w:rPr>
                <w:rFonts w:cs="Arial" w:ascii="Arial" w:hAnsi="Arial"/>
                <w:color w:val="000000"/>
                <w:sz w:val="24"/>
                <w:szCs w:val="24"/>
              </w:rPr>
              <w:t xml:space="preserve">) </w:t>
            </w:r>
            <w:r>
              <w:rPr>
                <w:rFonts w:cs="Arial" w:ascii="Arial" w:hAnsi="Arial"/>
                <w:i/>
                <w:color w:val="000000"/>
                <w:sz w:val="24"/>
                <w:szCs w:val="24"/>
              </w:rPr>
              <w:t>Genome-wide allele-specific methylation is enriched at gene regulatory regions in a multi-generation pedigree from the Norfolk Island isolate</w:t>
            </w:r>
            <w:r>
              <w:rPr>
                <w:rFonts w:cs="Arial" w:ascii="Arial" w:hAnsi="Arial"/>
                <w:color w:val="000000"/>
                <w:sz w:val="24"/>
                <w:szCs w:val="24"/>
              </w:rPr>
              <w:t>. </w:t>
            </w:r>
            <w:r>
              <w:rPr>
                <w:rStyle w:val="Emphasis"/>
                <w:rFonts w:cs="Arial" w:ascii="Arial" w:hAnsi="Arial"/>
                <w:i w:val="false"/>
                <w:color w:val="000000"/>
                <w:sz w:val="24"/>
                <w:szCs w:val="24"/>
                <w:u w:val="single"/>
              </w:rPr>
              <w:t xml:space="preserve">Epigenetics and Chromatin </w:t>
            </w:r>
            <w:r>
              <w:rPr>
                <w:rFonts w:cs="Arial" w:ascii="Arial" w:hAnsi="Arial"/>
                <w:b w:val="false"/>
                <w:bCs w:val="false"/>
                <w:color w:val="000000"/>
                <w:sz w:val="24"/>
                <w:szCs w:val="24"/>
              </w:rPr>
              <w:t>12(60)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Smith RA, Haupt LM, Albury CL, Maksemous N, Lea RA, and Griffiths LR.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A Customisable Analysis Pipeline for Identification of Clinically Relevant Genetic Variants in Next Generation Sequencing Data</w:t>
            </w:r>
            <w:r>
              <w:rPr>
                <w:rFonts w:cs="Arial" w:ascii="Arial" w:hAnsi="Arial"/>
                <w:sz w:val="24"/>
                <w:szCs w:val="24"/>
              </w:rPr>
              <w:t xml:space="preserve">. </w:t>
            </w:r>
            <w:r>
              <w:rPr>
                <w:rFonts w:cs="Arial" w:ascii="Arial" w:hAnsi="Arial"/>
                <w:sz w:val="24"/>
                <w:szCs w:val="24"/>
                <w:u w:val="single"/>
              </w:rPr>
              <w:t>Journal of Molecular Diagnostics</w:t>
            </w:r>
            <w:r>
              <w:rPr>
                <w:rFonts w:cs="Arial" w:ascii="Arial" w:hAnsi="Arial"/>
                <w:sz w:val="24"/>
                <w:szCs w:val="24"/>
              </w:rPr>
              <w:t xml:space="preserve"> 21(6)</w:t>
            </w:r>
          </w:p>
          <w:p>
            <w:pPr>
              <w:pStyle w:val="Heading5"/>
              <w:spacing w:before="45" w:after="45"/>
              <w:jc w:val="both"/>
              <w:rPr>
                <w:rFonts w:ascii="Arial" w:hAnsi="Arial" w:cs="Arial"/>
                <w:sz w:val="24"/>
                <w:szCs w:val="24"/>
              </w:rPr>
            </w:pPr>
            <w:r>
              <w:rPr>
                <w:rFonts w:cs="Arial" w:ascii="Arial" w:hAnsi="Arial"/>
                <w:b w:val="false"/>
                <w:bCs w:val="false"/>
                <w:sz w:val="24"/>
                <w:szCs w:val="24"/>
              </w:rPr>
              <w:t xml:space="preserve">Macartney-Coxson </w:t>
            </w:r>
            <w:r>
              <w:rPr>
                <w:rFonts w:cs="Arial" w:ascii="Arial" w:hAnsi="Arial"/>
                <w:b w:val="false"/>
                <w:bCs w:val="false"/>
                <w:sz w:val="24"/>
                <w:szCs w:val="24"/>
              </w:rPr>
              <w:t>D</w:t>
            </w:r>
            <w:r>
              <w:rPr>
                <w:rFonts w:cs="Arial" w:ascii="Arial" w:hAnsi="Arial"/>
                <w:b w:val="false"/>
                <w:bCs w:val="false"/>
                <w:sz w:val="24"/>
                <w:szCs w:val="24"/>
              </w:rPr>
              <w:t xml:space="preserve">, Cameron </w:t>
            </w:r>
            <w:r>
              <w:rPr>
                <w:rFonts w:cs="Arial" w:ascii="Arial" w:hAnsi="Arial"/>
                <w:b w:val="false"/>
                <w:bCs w:val="false"/>
                <w:sz w:val="24"/>
                <w:szCs w:val="24"/>
              </w:rPr>
              <w:t>A</w:t>
            </w:r>
            <w:r>
              <w:rPr>
                <w:rFonts w:cs="Arial" w:ascii="Arial" w:hAnsi="Arial"/>
                <w:b w:val="false"/>
                <w:bCs w:val="false"/>
                <w:sz w:val="24"/>
                <w:szCs w:val="24"/>
              </w:rPr>
              <w:t xml:space="preserve">, Clapham </w:t>
            </w:r>
            <w:r>
              <w:rPr>
                <w:rFonts w:cs="Arial" w:ascii="Arial" w:hAnsi="Arial"/>
                <w:b w:val="false"/>
                <w:bCs w:val="false"/>
                <w:sz w:val="24"/>
                <w:szCs w:val="24"/>
              </w:rPr>
              <w:t>J</w:t>
            </w:r>
            <w:r>
              <w:rPr>
                <w:rFonts w:cs="Arial" w:ascii="Arial" w:hAnsi="Arial"/>
                <w:b w:val="false"/>
                <w:bCs w:val="false"/>
                <w:sz w:val="24"/>
                <w:szCs w:val="24"/>
              </w:rPr>
              <w:t xml:space="preserve">, </w:t>
            </w:r>
            <w:r>
              <w:rPr>
                <w:rFonts w:cs="Arial" w:ascii="Arial" w:hAnsi="Arial"/>
                <w:b w:val="false"/>
                <w:bCs w:val="false"/>
                <w:sz w:val="24"/>
                <w:szCs w:val="24"/>
              </w:rPr>
              <w:t>and</w:t>
            </w:r>
            <w:r>
              <w:rPr>
                <w:rFonts w:cs="Arial" w:ascii="Arial" w:hAnsi="Arial"/>
                <w:sz w:val="24"/>
                <w:szCs w:val="24"/>
              </w:rPr>
              <w:t xml:space="preserve"> Benton </w:t>
            </w:r>
            <w:r>
              <w:rPr>
                <w:rFonts w:cs="Arial" w:ascii="Arial" w:hAnsi="Arial"/>
                <w:sz w:val="24"/>
                <w:szCs w:val="24"/>
              </w:rPr>
              <w:t xml:space="preserve">MC. </w:t>
            </w:r>
            <w:r>
              <w:rPr>
                <w:rFonts w:cs="Arial" w:ascii="Arial" w:hAnsi="Arial"/>
                <w:b w:val="false"/>
                <w:bCs w:val="false"/>
                <w:sz w:val="24"/>
                <w:szCs w:val="24"/>
              </w:rPr>
              <w:t>(</w:t>
            </w:r>
            <w:r>
              <w:rPr>
                <w:rFonts w:cs="Arial" w:ascii="Arial" w:hAnsi="Arial"/>
                <w:sz w:val="24"/>
                <w:szCs w:val="24"/>
              </w:rPr>
              <w:t>2019</w:t>
            </w:r>
            <w:r>
              <w:rPr>
                <w:rFonts w:cs="Arial" w:ascii="Arial" w:hAnsi="Arial"/>
                <w:b w:val="false"/>
                <w:bCs w:val="false"/>
                <w:sz w:val="24"/>
                <w:szCs w:val="24"/>
              </w:rPr>
              <w:t xml:space="preserve">) </w:t>
            </w:r>
            <w:r>
              <w:rPr>
                <w:rFonts w:cs="Arial" w:ascii="Arial" w:hAnsi="Arial"/>
                <w:b w:val="false"/>
                <w:bCs w:val="false"/>
                <w:i/>
                <w:iCs/>
                <w:sz w:val="24"/>
                <w:szCs w:val="24"/>
              </w:rPr>
              <w:t>DNA methylation in blood - potential to provide new insights in immune cell biology</w:t>
            </w:r>
            <w:r>
              <w:rPr>
                <w:rFonts w:cs="Arial" w:ascii="Arial" w:hAnsi="Arial"/>
                <w:b w:val="false"/>
                <w:bCs w:val="false"/>
                <w:sz w:val="24"/>
                <w:szCs w:val="24"/>
              </w:rPr>
              <w:t>. PREPRINT (Version 1) available at Research Square [DOI: https://doi.org/10.21203/rs.2.13274/v1]</w:t>
            </w:r>
          </w:p>
          <w:p>
            <w:pPr>
              <w:pStyle w:val="PreformattedText"/>
              <w:spacing w:before="45" w:after="45"/>
              <w:jc w:val="both"/>
              <w:rPr>
                <w:rFonts w:ascii="Arial" w:hAnsi="Arial" w:cs="Arial"/>
                <w:sz w:val="24"/>
                <w:szCs w:val="24"/>
              </w:rPr>
            </w:pPr>
            <w:r>
              <w:rPr>
                <w:rFonts w:cs="Arial" w:ascii="Arial" w:hAnsi="Arial"/>
                <w:sz w:val="24"/>
                <w:szCs w:val="24"/>
              </w:rPr>
              <w:t xml:space="preserve">Kennedy DW, White NM, </w:t>
            </w:r>
            <w:r>
              <w:rPr>
                <w:rFonts w:cs="Arial" w:ascii="Arial" w:hAnsi="Arial"/>
                <w:b/>
                <w:bCs/>
                <w:sz w:val="24"/>
                <w:szCs w:val="24"/>
              </w:rPr>
              <w:t>Benton MC</w:t>
            </w:r>
            <w:r>
              <w:rPr>
                <w:rFonts w:cs="Arial" w:ascii="Arial" w:hAnsi="Arial"/>
                <w:sz w:val="24"/>
                <w:szCs w:val="24"/>
              </w:rPr>
              <w:t>, Lea RL and Mengersen K. (</w:t>
            </w:r>
            <w:r>
              <w:rPr>
                <w:rFonts w:cs="Arial" w:ascii="Arial" w:hAnsi="Arial"/>
                <w:b/>
                <w:sz w:val="24"/>
                <w:szCs w:val="24"/>
              </w:rPr>
              <w:t>2019)</w:t>
            </w:r>
            <w:r>
              <w:rPr>
                <w:rFonts w:cs="Arial" w:ascii="Arial" w:hAnsi="Arial"/>
                <w:sz w:val="24"/>
                <w:szCs w:val="24"/>
              </w:rPr>
              <w:t xml:space="preserve"> </w:t>
            </w:r>
            <w:r>
              <w:rPr>
                <w:rFonts w:cs="Arial" w:ascii="Arial" w:hAnsi="Arial"/>
                <w:i/>
                <w:iCs/>
                <w:sz w:val="24"/>
                <w:szCs w:val="24"/>
              </w:rPr>
              <w:t>Cell-type specific analysis of heterogeneous methylation signal using a Bayesian model-based approach</w:t>
            </w:r>
            <w:r>
              <w:rPr>
                <w:rFonts w:cs="Arial" w:ascii="Arial" w:hAnsi="Arial"/>
                <w:sz w:val="24"/>
                <w:szCs w:val="24"/>
              </w:rPr>
              <w:t xml:space="preserve">. </w:t>
            </w:r>
            <w:r>
              <w:rPr>
                <w:rStyle w:val="Emphasis"/>
                <w:rFonts w:cs="Arial" w:ascii="Arial" w:hAnsi="Arial"/>
                <w:i w:val="false"/>
                <w:iCs w:val="false"/>
                <w:sz w:val="24"/>
                <w:szCs w:val="24"/>
                <w:u w:val="single"/>
              </w:rPr>
              <w:t>biorxiv</w:t>
            </w:r>
            <w:r>
              <w:rPr>
                <w:rFonts w:cs="Arial" w:ascii="Arial" w:hAnsi="Arial"/>
                <w:sz w:val="24"/>
                <w:szCs w:val="24"/>
              </w:rPr>
              <w:t xml:space="preserve"> (doi: https://doi.org/10.1101/682070)</w:t>
            </w:r>
          </w:p>
          <w:p>
            <w:pPr>
              <w:pStyle w:val="PreformattedText"/>
              <w:spacing w:before="45" w:after="45"/>
              <w:jc w:val="both"/>
              <w:rPr>
                <w:rFonts w:ascii="Arial" w:hAnsi="Arial" w:cs="Arial"/>
                <w:sz w:val="24"/>
                <w:szCs w:val="24"/>
              </w:rPr>
            </w:pPr>
            <w:r>
              <w:rPr>
                <w:rFonts w:cs="Arial" w:ascii="Arial" w:hAnsi="Arial"/>
                <w:sz w:val="24"/>
                <w:szCs w:val="24"/>
              </w:rPr>
              <w:t xml:space="preserve">Kennedy D, White NM, </w:t>
            </w:r>
            <w:r>
              <w:rPr>
                <w:rFonts w:cs="Arial" w:ascii="Arial" w:hAnsi="Arial"/>
                <w:b/>
                <w:bCs/>
                <w:sz w:val="24"/>
                <w:szCs w:val="24"/>
              </w:rPr>
              <w:t>Benton MC</w:t>
            </w:r>
            <w:r>
              <w:rPr>
                <w:rFonts w:cs="Arial" w:ascii="Arial" w:hAnsi="Arial"/>
                <w:sz w:val="24"/>
                <w:szCs w:val="24"/>
              </w:rPr>
              <w:t>, Fox A, Scott R, Griffiths LR, Mengersen KL and Lea RA.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Critical evaluation of linear regression models for cell-subtype specific methylation signal from mixed blood cell DNA</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(accepted 27th Nov 2018)</w:t>
            </w:r>
          </w:p>
          <w:p>
            <w:pPr>
              <w:pStyle w:val="PreformattedText"/>
              <w:spacing w:before="45" w:after="45"/>
              <w:jc w:val="both"/>
              <w:rPr>
                <w:rFonts w:ascii="Arial" w:hAnsi="Arial" w:cs="Arial"/>
                <w:sz w:val="24"/>
                <w:szCs w:val="24"/>
              </w:rPr>
            </w:pPr>
            <w:r>
              <w:rPr>
                <w:rFonts w:cs="Arial" w:ascii="Arial" w:hAnsi="Arial"/>
                <w:sz w:val="24"/>
                <w:szCs w:val="24"/>
              </w:rPr>
              <w:t xml:space="preserve">MaltbyV, Lea RA, Graves M, Sanders K, </w:t>
            </w:r>
            <w:r>
              <w:rPr>
                <w:rFonts w:cs="Arial" w:ascii="Arial" w:hAnsi="Arial"/>
                <w:b/>
                <w:bCs/>
                <w:sz w:val="24"/>
                <w:szCs w:val="24"/>
              </w:rPr>
              <w:t>Benton MC</w:t>
            </w:r>
            <w:r>
              <w:rPr>
                <w:rFonts w:cs="Arial" w:ascii="Arial" w:hAnsi="Arial"/>
                <w:sz w:val="24"/>
                <w:szCs w:val="24"/>
              </w:rPr>
              <w:t>, Tajouri L, Scott R, and Lechner-Scott J. (</w:t>
            </w:r>
            <w:r>
              <w:rPr>
                <w:rFonts w:cs="Arial" w:ascii="Arial" w:hAnsi="Arial"/>
                <w:b/>
                <w:sz w:val="24"/>
                <w:szCs w:val="24"/>
              </w:rPr>
              <w:t>2018</w:t>
            </w:r>
            <w:r>
              <w:rPr>
                <w:rFonts w:cs="Arial" w:ascii="Arial" w:hAnsi="Arial"/>
                <w:sz w:val="24"/>
                <w:szCs w:val="24"/>
              </w:rPr>
              <w:t xml:space="preserve">) </w:t>
            </w:r>
            <w:r>
              <w:rPr>
                <w:rFonts w:cs="Arial" w:ascii="Arial" w:hAnsi="Arial"/>
                <w:i/>
                <w:iCs/>
                <w:sz w:val="24"/>
                <w:szCs w:val="24"/>
              </w:rPr>
              <w:t>Genome-wide DNA methylation changes in CD19+ B cells from relapsing-remitting multiple sclerosis patients</w:t>
            </w:r>
            <w:r>
              <w:rPr>
                <w:rFonts w:cs="Arial" w:ascii="Arial" w:hAnsi="Arial"/>
                <w:sz w:val="24"/>
                <w:szCs w:val="24"/>
              </w:rPr>
              <w:t xml:space="preserve">. </w:t>
            </w:r>
            <w:r>
              <w:rPr>
                <w:rFonts w:cs="Arial" w:ascii="Arial" w:hAnsi="Arial"/>
                <w:sz w:val="24"/>
                <w:szCs w:val="24"/>
                <w:u w:val="single"/>
              </w:rPr>
              <w:t>Scientific Reports</w:t>
            </w:r>
            <w:r>
              <w:rPr>
                <w:rFonts w:cs="Arial" w:ascii="Arial" w:hAnsi="Arial"/>
                <w:sz w:val="24"/>
                <w:szCs w:val="24"/>
              </w:rPr>
              <w:t xml:space="preserve"> </w:t>
            </w:r>
          </w:p>
          <w:p>
            <w:pPr>
              <w:pStyle w:val="PreformattedText"/>
              <w:spacing w:before="45" w:after="45"/>
              <w:jc w:val="both"/>
              <w:rPr>
                <w:rFonts w:ascii="Arial" w:hAnsi="Arial" w:cs="Arial"/>
                <w:sz w:val="24"/>
                <w:szCs w:val="24"/>
              </w:rPr>
            </w:pPr>
            <w:r>
              <w:rPr>
                <w:rFonts w:cs="Arial" w:ascii="Arial" w:hAnsi="Arial"/>
                <w:sz w:val="24"/>
                <w:szCs w:val="24"/>
              </w:rPr>
              <w:t xml:space="preserve">Aquino EM, </w:t>
            </w:r>
            <w:r>
              <w:rPr>
                <w:rFonts w:cs="Arial" w:ascii="Arial" w:hAnsi="Arial"/>
                <w:b/>
                <w:sz w:val="24"/>
                <w:szCs w:val="24"/>
              </w:rPr>
              <w:t>Benton MC</w:t>
            </w:r>
            <w:r>
              <w:rPr>
                <w:rFonts w:cs="Arial" w:ascii="Arial" w:hAnsi="Arial"/>
                <w:sz w:val="24"/>
                <w:szCs w:val="24"/>
              </w:rPr>
              <w:t>, Haupt LM, Sutherland HG, Griffiths LR, and Lea RA. (</w:t>
            </w:r>
            <w:r>
              <w:rPr>
                <w:rFonts w:cs="Arial" w:ascii="Arial" w:hAnsi="Arial"/>
                <w:b/>
                <w:sz w:val="24"/>
                <w:szCs w:val="24"/>
              </w:rPr>
              <w:t>2018</w:t>
            </w:r>
            <w:r>
              <w:rPr>
                <w:rFonts w:cs="Arial" w:ascii="Arial" w:hAnsi="Arial"/>
                <w:sz w:val="24"/>
                <w:szCs w:val="24"/>
              </w:rPr>
              <w:t xml:space="preserve">) </w:t>
            </w:r>
            <w:r>
              <w:rPr>
                <w:rFonts w:cs="Arial" w:ascii="Arial" w:hAnsi="Arial"/>
                <w:i/>
                <w:sz w:val="24"/>
                <w:szCs w:val="24"/>
              </w:rPr>
              <w:t>Current understanding of DNA methylation and age-related disease.</w:t>
            </w:r>
            <w:r>
              <w:rPr>
                <w:rFonts w:cs="Arial" w:ascii="Arial" w:hAnsi="Arial"/>
                <w:sz w:val="24"/>
                <w:szCs w:val="24"/>
              </w:rPr>
              <w:t xml:space="preserve"> </w:t>
            </w:r>
            <w:r>
              <w:rPr>
                <w:rFonts w:cs="Arial" w:ascii="Arial" w:hAnsi="Arial"/>
                <w:sz w:val="24"/>
                <w:szCs w:val="24"/>
                <w:u w:val="single"/>
              </w:rPr>
              <w:t>OBM Genetics</w:t>
            </w:r>
            <w:r>
              <w:rPr>
                <w:rFonts w:cs="Arial" w:ascii="Arial" w:hAnsi="Arial"/>
                <w:sz w:val="24"/>
                <w:szCs w:val="24"/>
              </w:rPr>
              <w:t xml:space="preserve"> 2</w:t>
            </w:r>
          </w:p>
          <w:p>
            <w:pPr>
              <w:pStyle w:val="PreformattedText"/>
              <w:spacing w:before="45" w:after="45"/>
              <w:jc w:val="both"/>
              <w:rPr>
                <w:rFonts w:ascii="Arial" w:hAnsi="Arial" w:cs="Arial"/>
                <w:sz w:val="24"/>
                <w:szCs w:val="24"/>
              </w:rPr>
            </w:pPr>
            <w:r>
              <w:rPr>
                <w:rFonts w:cs="Arial" w:ascii="Arial" w:hAnsi="Arial"/>
                <w:sz w:val="24"/>
                <w:szCs w:val="24"/>
              </w:rPr>
              <w:t xml:space="preserve">Bradshaw G, Lualhati RL, Albury CL, Maksemous N, Roos-Araujo D, Smith RA, </w:t>
            </w:r>
            <w:r>
              <w:rPr>
                <w:rFonts w:cs="Arial" w:ascii="Arial" w:hAnsi="Arial"/>
                <w:b/>
                <w:bCs/>
                <w:sz w:val="24"/>
                <w:szCs w:val="24"/>
              </w:rPr>
              <w:t>Benton MC</w:t>
            </w:r>
            <w:r>
              <w:rPr>
                <w:rFonts w:cs="Arial" w:ascii="Arial" w:hAnsi="Arial"/>
                <w:sz w:val="24"/>
                <w:szCs w:val="24"/>
              </w:rPr>
              <w:t>, Eccles DA, Lea RA, Sutherland HG,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iCs/>
                <w:sz w:val="24"/>
                <w:szCs w:val="24"/>
              </w:rPr>
              <w:t>Exome sequencing diagnoses X-linked moesin-associated immunodeficiency in a primary immunodeficiency case</w:t>
            </w:r>
            <w:r>
              <w:rPr>
                <w:rFonts w:cs="Arial" w:ascii="Arial" w:hAnsi="Arial"/>
                <w:sz w:val="24"/>
                <w:szCs w:val="24"/>
              </w:rPr>
              <w:t xml:space="preserve">. </w:t>
            </w:r>
            <w:r>
              <w:rPr>
                <w:rFonts w:cs="Arial" w:ascii="Arial" w:hAnsi="Arial"/>
                <w:sz w:val="24"/>
                <w:szCs w:val="24"/>
                <w:u w:val="single"/>
              </w:rPr>
              <w:t>Frontiers in Immunology</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Dunn P, Albury CL, Maksemous N, </w:t>
            </w:r>
            <w:r>
              <w:rPr>
                <w:rStyle w:val="Strong"/>
                <w:rFonts w:cs="Arial" w:ascii="Arial" w:hAnsi="Arial"/>
                <w:sz w:val="24"/>
                <w:szCs w:val="24"/>
              </w:rPr>
              <w:t>Benton MC</w:t>
            </w:r>
            <w:r>
              <w:rPr>
                <w:rFonts w:cs="Arial" w:ascii="Arial" w:hAnsi="Arial"/>
                <w:sz w:val="24"/>
                <w:szCs w:val="24"/>
              </w:rPr>
              <w:t>, Sutherland HG, Smith RA, Haupt LM, and Griffiths LR. (</w:t>
            </w:r>
            <w:r>
              <w:rPr>
                <w:rFonts w:cs="Arial" w:ascii="Arial" w:hAnsi="Arial"/>
                <w:b/>
                <w:bCs/>
                <w:sz w:val="24"/>
                <w:szCs w:val="24"/>
              </w:rPr>
              <w:t>2018</w:t>
            </w:r>
            <w:r>
              <w:rPr>
                <w:rFonts w:cs="Arial" w:ascii="Arial" w:hAnsi="Arial"/>
                <w:sz w:val="24"/>
                <w:szCs w:val="24"/>
              </w:rPr>
              <w:t xml:space="preserve">) </w:t>
            </w:r>
            <w:r>
              <w:rPr>
                <w:rFonts w:cs="Arial" w:ascii="Arial" w:hAnsi="Arial"/>
                <w:i/>
                <w:sz w:val="24"/>
                <w:szCs w:val="24"/>
              </w:rPr>
              <w:t>Next Generation Sequencing Methods for Diagnosis of Epilepsy Syndromes.</w:t>
            </w:r>
            <w:r>
              <w:rPr>
                <w:rFonts w:cs="Arial" w:ascii="Arial" w:hAnsi="Arial"/>
                <w:sz w:val="24"/>
                <w:szCs w:val="24"/>
              </w:rPr>
              <w:t xml:space="preserve"> </w:t>
            </w:r>
            <w:r>
              <w:rPr>
                <w:rFonts w:cs="Arial" w:ascii="Arial" w:hAnsi="Arial"/>
                <w:sz w:val="24"/>
                <w:szCs w:val="24"/>
                <w:u w:val="single"/>
              </w:rPr>
              <w:t>Frontiers in Genetics</w:t>
            </w:r>
            <w:r>
              <w:rPr>
                <w:rFonts w:cs="Arial" w:ascii="Arial" w:hAnsi="Arial"/>
                <w:sz w:val="24"/>
                <w:szCs w:val="24"/>
              </w:rPr>
              <w:t xml:space="preserve"> 9</w:t>
            </w:r>
          </w:p>
          <w:p>
            <w:pPr>
              <w:pStyle w:val="PreformattedText"/>
              <w:spacing w:before="45" w:after="45"/>
              <w:jc w:val="both"/>
              <w:rPr>
                <w:rFonts w:ascii="Arial" w:hAnsi="Arial" w:cs="Arial"/>
                <w:sz w:val="24"/>
                <w:szCs w:val="24"/>
              </w:rPr>
            </w:pPr>
            <w:r>
              <w:rPr>
                <w:rFonts w:cs="Arial" w:ascii="Arial" w:hAnsi="Arial"/>
                <w:sz w:val="24"/>
                <w:szCs w:val="24"/>
              </w:rPr>
              <w:t xml:space="preserve">Jones A, Danielson KM, </w:t>
            </w:r>
            <w:r>
              <w:rPr>
                <w:rFonts w:cs="Arial" w:ascii="Arial" w:hAnsi="Arial"/>
                <w:b/>
                <w:sz w:val="24"/>
                <w:szCs w:val="24"/>
              </w:rPr>
              <w:t>Benton MC</w:t>
            </w:r>
            <w:r>
              <w:rPr>
                <w:rFonts w:cs="Arial" w:ascii="Arial" w:hAnsi="Arial"/>
                <w:sz w:val="24"/>
                <w:szCs w:val="24"/>
              </w:rPr>
              <w:t>, Ziegler O, Shah R, Stubbs RS, Das S, and Macartney-Coxson D.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miRNA signatures of insulin resistance in obesity.</w:t>
            </w:r>
            <w:r>
              <w:rPr>
                <w:rFonts w:cs="Arial" w:ascii="Arial" w:hAnsi="Arial"/>
                <w:sz w:val="24"/>
                <w:szCs w:val="24"/>
              </w:rPr>
              <w:t xml:space="preserve"> </w:t>
            </w:r>
            <w:r>
              <w:rPr>
                <w:rFonts w:cs="Arial" w:ascii="Arial" w:hAnsi="Arial"/>
                <w:sz w:val="24"/>
                <w:szCs w:val="24"/>
                <w:u w:val="single"/>
              </w:rPr>
              <w:t>Obesity</w:t>
            </w:r>
            <w:r>
              <w:rPr>
                <w:rFonts w:cs="Arial" w:ascii="Arial" w:hAnsi="Arial"/>
                <w:sz w:val="24"/>
                <w:szCs w:val="24"/>
              </w:rPr>
              <w:t xml:space="preserve"> 25(10) </w:t>
            </w:r>
          </w:p>
          <w:p>
            <w:pPr>
              <w:pStyle w:val="PreformattedText"/>
              <w:spacing w:before="45" w:after="45"/>
              <w:jc w:val="both"/>
              <w:rPr>
                <w:rFonts w:ascii="Arial" w:hAnsi="Arial" w:cs="Arial"/>
                <w:sz w:val="24"/>
                <w:szCs w:val="24"/>
              </w:rPr>
            </w:pPr>
            <w:r>
              <w:rPr>
                <w:rFonts w:cs="Arial" w:ascii="Arial" w:hAnsi="Arial"/>
                <w:sz w:val="24"/>
                <w:szCs w:val="24"/>
              </w:rPr>
              <w:t xml:space="preserve">White NM, </w:t>
            </w:r>
            <w:r>
              <w:rPr>
                <w:rFonts w:cs="Arial" w:ascii="Arial" w:hAnsi="Arial"/>
                <w:b/>
                <w:sz w:val="24"/>
                <w:szCs w:val="24"/>
              </w:rPr>
              <w:t>Benton MC</w:t>
            </w:r>
            <w:r>
              <w:rPr>
                <w:rFonts w:cs="Arial" w:ascii="Arial" w:hAnsi="Arial"/>
                <w:sz w:val="24"/>
                <w:szCs w:val="24"/>
              </w:rPr>
              <w:t>, Kennedy D, Fox A, Griffiths LR, Lea RA, and Mengersen KL.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Accounting for cell lineage and sex effects in the identification of cell-specific DNA methylation using a Bayesian model selection algorithm.</w:t>
            </w:r>
            <w:r>
              <w:rPr>
                <w:rFonts w:cs="Arial" w:ascii="Arial" w:hAnsi="Arial"/>
                <w:sz w:val="24"/>
                <w:szCs w:val="24"/>
              </w:rPr>
              <w:t xml:space="preserve"> </w:t>
            </w:r>
            <w:r>
              <w:rPr>
                <w:rFonts w:cs="Arial" w:ascii="Arial" w:hAnsi="Arial"/>
                <w:sz w:val="24"/>
                <w:szCs w:val="24"/>
                <w:u w:val="single"/>
              </w:rPr>
              <w:t>PLoS One</w:t>
            </w:r>
            <w:r>
              <w:rPr>
                <w:rFonts w:cs="Arial" w:ascii="Arial" w:hAnsi="Arial"/>
                <w:sz w:val="24"/>
                <w:szCs w:val="24"/>
              </w:rPr>
              <w:t xml:space="preserve"> 12(9)</w:t>
            </w:r>
          </w:p>
          <w:p>
            <w:pPr>
              <w:pStyle w:val="PreformattedText"/>
              <w:spacing w:before="45" w:after="45"/>
              <w:jc w:val="both"/>
              <w:rPr>
                <w:rFonts w:ascii="Arial" w:hAnsi="Arial" w:cs="Arial"/>
                <w:sz w:val="24"/>
                <w:szCs w:val="24"/>
              </w:rPr>
            </w:pPr>
            <w:r>
              <w:rPr>
                <w:rFonts w:cs="Arial" w:ascii="Arial" w:hAnsi="Arial"/>
                <w:sz w:val="24"/>
                <w:szCs w:val="24"/>
              </w:rPr>
              <w:t xml:space="preserve">Maltby V, Lea RA, Sanders K, White NM, </w:t>
            </w:r>
            <w:r>
              <w:rPr>
                <w:rFonts w:cs="Arial" w:ascii="Arial" w:hAnsi="Arial"/>
                <w:b/>
                <w:sz w:val="24"/>
                <w:szCs w:val="24"/>
              </w:rPr>
              <w:t>Benton MC</w:t>
            </w:r>
            <w:r>
              <w:rPr>
                <w:rFonts w:cs="Arial" w:ascii="Arial" w:hAnsi="Arial"/>
                <w:sz w:val="24"/>
                <w:szCs w:val="24"/>
              </w:rPr>
              <w:t>, Scott R, and Lechner-Scott J. (</w:t>
            </w:r>
            <w:r>
              <w:rPr>
                <w:rFonts w:cs="Arial" w:ascii="Arial" w:hAnsi="Arial"/>
                <w:b/>
                <w:bCs/>
                <w:sz w:val="24"/>
                <w:szCs w:val="24"/>
              </w:rPr>
              <w:t>2017</w:t>
            </w:r>
            <w:r>
              <w:rPr>
                <w:rFonts w:cs="Arial" w:ascii="Arial" w:hAnsi="Arial"/>
                <w:sz w:val="24"/>
                <w:szCs w:val="24"/>
              </w:rPr>
              <w:t xml:space="preserve">) </w:t>
            </w:r>
            <w:r>
              <w:rPr>
                <w:rFonts w:cs="Arial" w:ascii="Arial" w:hAnsi="Arial"/>
                <w:i/>
                <w:sz w:val="24"/>
                <w:szCs w:val="24"/>
              </w:rPr>
              <w:t>Differential Methylation at MHC in CD4+ T cells is associated with multiple sclerosis independently of HLA-DRB1.</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9(71)</w:t>
            </w:r>
          </w:p>
          <w:p>
            <w:pPr>
              <w:pStyle w:val="PreformattedText"/>
              <w:spacing w:before="45" w:after="45"/>
              <w:jc w:val="both"/>
              <w:rPr>
                <w:rFonts w:ascii="Arial" w:hAnsi="Arial" w:cs="Arial"/>
                <w:sz w:val="24"/>
                <w:szCs w:val="24"/>
              </w:rPr>
            </w:pPr>
            <w:r>
              <w:rPr>
                <w:rFonts w:cs="Arial" w:ascii="Arial" w:hAnsi="Arial"/>
                <w:sz w:val="24"/>
                <w:szCs w:val="24"/>
              </w:rPr>
              <w:t xml:space="preserve">Macartney-Coxson D, </w:t>
            </w:r>
            <w:r>
              <w:rPr>
                <w:rFonts w:cs="Arial" w:ascii="Arial" w:hAnsi="Arial"/>
                <w:b/>
                <w:bCs/>
                <w:sz w:val="24"/>
                <w:szCs w:val="24"/>
              </w:rPr>
              <w:t>Benton MC</w:t>
            </w:r>
            <w:r>
              <w:rPr>
                <w:rFonts w:cs="Arial" w:ascii="Arial" w:hAnsi="Arial"/>
                <w:sz w:val="24"/>
                <w:szCs w:val="24"/>
              </w:rPr>
              <w:t>, Blick R, Stubbs RS, Hagan RD, and Langston MA.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Genome-wide DNA methylation analysis reveals loci that distinguish different types of adipose tissue in obese individuals.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9(48)</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Sutherland HG, Macartney-Coxson D,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Methylome-wide association study of whole blood DNA in the Norfolk Island isolate identifies robust loci associated with age.</w:t>
            </w:r>
            <w:r>
              <w:rPr>
                <w:rFonts w:cs="Arial" w:ascii="Arial" w:hAnsi="Arial"/>
                <w:sz w:val="24"/>
                <w:szCs w:val="24"/>
              </w:rPr>
              <w:t xml:space="preserve"> </w:t>
            </w:r>
            <w:r>
              <w:rPr>
                <w:rFonts w:cs="Arial" w:ascii="Arial" w:hAnsi="Arial"/>
                <w:sz w:val="24"/>
                <w:szCs w:val="24"/>
                <w:u w:val="single"/>
              </w:rPr>
              <w:t>Aging</w:t>
            </w:r>
          </w:p>
          <w:p>
            <w:pPr>
              <w:pStyle w:val="PreformattedText"/>
              <w:spacing w:before="45" w:after="45"/>
              <w:jc w:val="both"/>
              <w:rPr>
                <w:rFonts w:ascii="Arial" w:hAnsi="Arial" w:cs="Arial"/>
                <w:sz w:val="24"/>
                <w:szCs w:val="24"/>
              </w:rPr>
            </w:pPr>
            <w:r>
              <w:rPr>
                <w:rFonts w:cs="Arial" w:ascii="Arial" w:hAnsi="Arial"/>
                <w:sz w:val="24"/>
                <w:szCs w:val="24"/>
              </w:rPr>
              <w:t xml:space="preserve">Stuart S, </w:t>
            </w:r>
            <w:r>
              <w:rPr>
                <w:rFonts w:cs="Arial" w:ascii="Arial" w:hAnsi="Arial"/>
                <w:b/>
                <w:bCs/>
                <w:sz w:val="24"/>
                <w:szCs w:val="24"/>
              </w:rPr>
              <w:t>Benton MC</w:t>
            </w:r>
            <w:r>
              <w:rPr>
                <w:rFonts w:cs="Arial" w:ascii="Arial" w:hAnsi="Arial"/>
                <w:sz w:val="24"/>
                <w:szCs w:val="24"/>
              </w:rPr>
              <w:t>, Eccles D, Sutherland H, Haupt LM, Lea RA and Griffiths LR. (</w:t>
            </w:r>
            <w:r>
              <w:rPr>
                <w:rFonts w:cs="Arial" w:ascii="Arial" w:hAnsi="Arial"/>
                <w:b/>
                <w:bCs/>
                <w:sz w:val="24"/>
                <w:szCs w:val="24"/>
              </w:rPr>
              <w:t>2017</w:t>
            </w:r>
            <w:r>
              <w:rPr>
                <w:rFonts w:cs="Arial" w:ascii="Arial" w:hAnsi="Arial"/>
                <w:sz w:val="24"/>
                <w:szCs w:val="24"/>
              </w:rPr>
              <w:t xml:space="preserve">) </w:t>
            </w:r>
            <w:r>
              <w:rPr>
                <w:rFonts w:cs="Arial" w:ascii="Arial" w:hAnsi="Arial"/>
                <w:i/>
                <w:iCs/>
                <w:sz w:val="24"/>
                <w:szCs w:val="24"/>
              </w:rPr>
              <w:t>Gene-Centric Analysis Implicates Nuclear Encoded Mitochondrial Protein Gene Variants in Migraine Susceptibility.</w:t>
            </w:r>
            <w:r>
              <w:rPr>
                <w:rFonts w:cs="Arial" w:ascii="Arial" w:hAnsi="Arial"/>
                <w:sz w:val="24"/>
                <w:szCs w:val="24"/>
              </w:rPr>
              <w:t xml:space="preserve"> </w:t>
            </w:r>
            <w:r>
              <w:rPr>
                <w:rFonts w:cs="Arial" w:ascii="Arial" w:hAnsi="Arial"/>
                <w:sz w:val="24"/>
                <w:szCs w:val="24"/>
                <w:u w:val="single"/>
              </w:rPr>
              <w:t>Molecular Genetics &amp; Genomic Medicine</w:t>
            </w:r>
          </w:p>
          <w:p>
            <w:pPr>
              <w:pStyle w:val="PreformattedText"/>
              <w:spacing w:before="45" w:after="45"/>
              <w:jc w:val="both"/>
              <w:rPr>
                <w:rFonts w:ascii="Arial" w:hAnsi="Arial" w:cs="Arial"/>
                <w:sz w:val="24"/>
                <w:szCs w:val="24"/>
              </w:rPr>
            </w:pPr>
            <w:r>
              <w:rPr>
                <w:rFonts w:cs="Arial" w:ascii="Arial" w:hAnsi="Arial"/>
                <w:sz w:val="24"/>
                <w:szCs w:val="24"/>
              </w:rPr>
              <w:t xml:space="preserve">Sanders KA, </w:t>
            </w:r>
            <w:r>
              <w:rPr>
                <w:rFonts w:cs="Arial" w:ascii="Arial" w:hAnsi="Arial"/>
                <w:b/>
                <w:bCs/>
                <w:sz w:val="24"/>
                <w:szCs w:val="24"/>
              </w:rPr>
              <w:t>Benton MC</w:t>
            </w:r>
            <w:r>
              <w:rPr>
                <w:rFonts w:cs="Arial" w:ascii="Arial" w:hAnsi="Arial"/>
                <w:sz w:val="24"/>
                <w:szCs w:val="24"/>
              </w:rPr>
              <w:t>, Lea RA, Maltby VE, Agland S, Griffin N, Scott RJ, Tajouri L and Lechner-Scott J. (</w:t>
            </w:r>
            <w:r>
              <w:rPr>
                <w:rFonts w:cs="Arial" w:ascii="Arial" w:hAnsi="Arial"/>
                <w:b/>
                <w:bCs/>
                <w:sz w:val="24"/>
                <w:szCs w:val="24"/>
              </w:rPr>
              <w:t>2016</w:t>
            </w:r>
            <w:r>
              <w:rPr>
                <w:rFonts w:cs="Arial" w:ascii="Arial" w:hAnsi="Arial"/>
                <w:sz w:val="24"/>
                <w:szCs w:val="24"/>
              </w:rPr>
              <w:t xml:space="preserve">) </w:t>
            </w:r>
            <w:r>
              <w:rPr>
                <w:rFonts w:cs="Arial" w:ascii="Arial" w:hAnsi="Arial"/>
                <w:i/>
                <w:iCs/>
                <w:sz w:val="24"/>
                <w:szCs w:val="24"/>
              </w:rPr>
              <w:t>Next-generation sequencing reveals broad down-regulation of microRNAs in secondary progressive multiple sclerosis CD4+ T-cells.</w:t>
            </w:r>
            <w:r>
              <w:rPr>
                <w:rFonts w:cs="Arial" w:ascii="Arial" w:hAnsi="Arial"/>
                <w:sz w:val="24"/>
                <w:szCs w:val="24"/>
              </w:rPr>
              <w:t xml:space="preserve"> </w:t>
            </w:r>
            <w:r>
              <w:rPr>
                <w:rFonts w:cs="Arial" w:ascii="Arial" w:hAnsi="Arial"/>
                <w:sz w:val="24"/>
                <w:szCs w:val="24"/>
                <w:u w:val="single"/>
              </w:rPr>
              <w:t>Clinical Epigenetics</w:t>
            </w:r>
            <w:r>
              <w:rPr>
                <w:rFonts w:cs="Arial" w:ascii="Arial" w:hAnsi="Arial"/>
                <w:sz w:val="24"/>
                <w:szCs w:val="24"/>
              </w:rPr>
              <w:t xml:space="preserve"> 8(87)</w:t>
            </w:r>
          </w:p>
          <w:p>
            <w:pPr>
              <w:pStyle w:val="PreformattedText"/>
              <w:spacing w:before="45" w:after="45"/>
              <w:jc w:val="both"/>
              <w:rPr>
                <w:rFonts w:ascii="Arial" w:hAnsi="Arial" w:cs="Arial"/>
                <w:sz w:val="24"/>
                <w:szCs w:val="24"/>
              </w:rPr>
            </w:pPr>
            <w:r>
              <w:rPr>
                <w:rFonts w:cs="Arial" w:ascii="Arial" w:hAnsi="Arial"/>
                <w:sz w:val="24"/>
                <w:szCs w:val="24"/>
              </w:rPr>
              <w:t xml:space="preserve">Fernando S, Speicher DJ, Bakr MM, </w:t>
            </w:r>
            <w:r>
              <w:rPr>
                <w:rFonts w:cs="Arial" w:ascii="Arial" w:hAnsi="Arial"/>
                <w:b/>
                <w:bCs/>
                <w:sz w:val="24"/>
                <w:szCs w:val="24"/>
              </w:rPr>
              <w:t>Benton MC</w:t>
            </w:r>
            <w:r>
              <w:rPr>
                <w:rFonts w:cs="Arial" w:ascii="Arial" w:hAnsi="Arial"/>
                <w:sz w:val="24"/>
                <w:szCs w:val="24"/>
              </w:rPr>
              <w:t>, Lea RA, Scuffham PA and Johnson NW.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Protocol for assessing maternal, environmental and epigenetic risk factors for dental caries in children.</w:t>
            </w:r>
            <w:r>
              <w:rPr>
                <w:rFonts w:cs="Arial" w:ascii="Arial" w:hAnsi="Arial"/>
                <w:sz w:val="24"/>
                <w:szCs w:val="24"/>
              </w:rPr>
              <w:t xml:space="preserve"> </w:t>
            </w:r>
            <w:r>
              <w:rPr>
                <w:rFonts w:cs="Arial" w:ascii="Arial" w:hAnsi="Arial"/>
                <w:sz w:val="24"/>
                <w:szCs w:val="24"/>
                <w:u w:val="single"/>
              </w:rPr>
              <w:t>BMC Oral Health</w:t>
            </w:r>
            <w:r>
              <w:rPr>
                <w:rFonts w:cs="Arial" w:ascii="Arial" w:hAnsi="Arial"/>
                <w:sz w:val="24"/>
                <w:szCs w:val="24"/>
              </w:rPr>
              <w:t xml:space="preserve"> 15(167)</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Bellis C, Hanna M, Eccles D, Chambers GK, Curran JE,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Serum bilirubin concentration is modified by UGT1A1 Haplotypes and Influences Risk of Type-2 Diabetes in the Norfolk Island Genetic Isolate.</w:t>
            </w:r>
            <w:r>
              <w:rPr>
                <w:rFonts w:cs="Arial" w:ascii="Arial" w:hAnsi="Arial"/>
                <w:sz w:val="24"/>
                <w:szCs w:val="24"/>
              </w:rPr>
              <w:t xml:space="preserve"> </w:t>
            </w:r>
            <w:r>
              <w:rPr>
                <w:rFonts w:cs="Arial" w:ascii="Arial" w:hAnsi="Arial"/>
                <w:sz w:val="24"/>
                <w:szCs w:val="24"/>
                <w:u w:val="single"/>
              </w:rPr>
              <w:t>BMC Genetics</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 xml:space="preserve">Maltby VE, Graves MC, Lea RA, </w:t>
            </w:r>
            <w:r>
              <w:rPr>
                <w:rFonts w:cs="Arial" w:ascii="Arial" w:hAnsi="Arial"/>
                <w:b/>
                <w:bCs/>
                <w:sz w:val="24"/>
                <w:szCs w:val="24"/>
              </w:rPr>
              <w:t>Benton MC</w:t>
            </w:r>
            <w:r>
              <w:rPr>
                <w:rFonts w:cs="Arial" w:ascii="Arial" w:hAnsi="Arial"/>
                <w:sz w:val="24"/>
                <w:szCs w:val="24"/>
              </w:rPr>
              <w:t>, Sanders KA, Tajouri L, Scott RJ and Lechner-Scott J.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Genome-wide DNA methylation profiling of CD8+ T cells shows a distinct epigenetic signature to CD4+ T cells in Multiple Sclerosis patients.</w:t>
            </w:r>
            <w:r>
              <w:rPr>
                <w:rFonts w:cs="Arial" w:ascii="Arial" w:hAnsi="Arial"/>
                <w:sz w:val="24"/>
                <w:szCs w:val="24"/>
              </w:rPr>
              <w:t xml:space="preserve">  </w:t>
            </w:r>
            <w:r>
              <w:rPr>
                <w:rFonts w:cs="Arial" w:ascii="Arial" w:hAnsi="Arial"/>
                <w:sz w:val="24"/>
                <w:szCs w:val="24"/>
                <w:u w:val="single"/>
              </w:rPr>
              <w:t>Clinical Epigenetics</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Lea RA, Macartney-Coxson D, Carless MA, Göring HH, Bellis C, Hanna M, Eccles D, Chambers GK, Curran JE, Harper JL, Blangero J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 phenomic scan of the Norfolk Island genetic isolate identifies a major pleiotropic effect locus associated with renal disorder markers.</w:t>
            </w:r>
            <w:r>
              <w:rPr>
                <w:rFonts w:cs="Arial" w:ascii="Arial" w:hAnsi="Arial"/>
                <w:sz w:val="24"/>
                <w:szCs w:val="24"/>
              </w:rPr>
              <w:t xml:space="preserve"> </w:t>
            </w:r>
            <w:r>
              <w:rPr>
                <w:rFonts w:cs="Arial" w:ascii="Arial" w:hAnsi="Arial"/>
                <w:sz w:val="24"/>
                <w:szCs w:val="24"/>
                <w:u w:val="single"/>
              </w:rPr>
              <w:t>PLoS Genetics</w:t>
            </w:r>
            <w:r>
              <w:rPr>
                <w:rFonts w:cs="Arial" w:ascii="Arial" w:hAnsi="Arial"/>
                <w:sz w:val="24"/>
                <w:szCs w:val="24"/>
              </w:rPr>
              <w:t xml:space="preserve"> 11(10)</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Stuart S, Bellis C, Macartney-Coxson D, Eccles D, Curran JE, Chambers G, Blangero J, Lea RA, and Griffiths LR.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'Mutiny on the Bounty': The Genetic History of Norfolk Island reveals extreme gender biased admixture.</w:t>
            </w:r>
            <w:r>
              <w:rPr>
                <w:rFonts w:cs="Arial" w:ascii="Arial" w:hAnsi="Arial"/>
                <w:sz w:val="24"/>
                <w:szCs w:val="24"/>
              </w:rPr>
              <w:t xml:space="preserve"> </w:t>
            </w:r>
            <w:r>
              <w:rPr>
                <w:rFonts w:cs="Arial" w:ascii="Arial" w:hAnsi="Arial"/>
                <w:sz w:val="24"/>
                <w:szCs w:val="24"/>
                <w:u w:val="single"/>
              </w:rPr>
              <w:t>Investigative Genetics</w:t>
            </w:r>
            <w:r>
              <w:rPr>
                <w:rFonts w:cs="Arial" w:ascii="Arial" w:hAnsi="Arial"/>
                <w:sz w:val="24"/>
                <w:szCs w:val="24"/>
              </w:rPr>
              <w:t xml:space="preserve"> 6(11)</w:t>
            </w:r>
          </w:p>
          <w:p>
            <w:pPr>
              <w:pStyle w:val="PreformattedText"/>
              <w:spacing w:before="45" w:after="45"/>
              <w:jc w:val="both"/>
              <w:rPr>
                <w:rFonts w:ascii="Arial" w:hAnsi="Arial" w:cs="Arial"/>
                <w:sz w:val="24"/>
                <w:szCs w:val="24"/>
              </w:rPr>
            </w:pPr>
            <w:r>
              <w:rPr>
                <w:rFonts w:cs="Arial" w:ascii="Arial" w:hAnsi="Arial"/>
                <w:sz w:val="24"/>
                <w:szCs w:val="24"/>
              </w:rPr>
              <w:t xml:space="preserve">Bosch P, </w:t>
            </w:r>
            <w:r>
              <w:rPr>
                <w:rFonts w:cs="Arial" w:ascii="Arial" w:hAnsi="Arial"/>
                <w:b/>
                <w:bCs/>
                <w:sz w:val="24"/>
                <w:szCs w:val="24"/>
              </w:rPr>
              <w:t>Benton MC</w:t>
            </w:r>
            <w:r>
              <w:rPr>
                <w:rFonts w:cs="Arial" w:ascii="Arial" w:hAnsi="Arial"/>
                <w:sz w:val="24"/>
                <w:szCs w:val="24"/>
              </w:rPr>
              <w:t>, Macartney-Coxson D, Kivell B.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mRNA and microRNA analysis reveals modulation of biochemical pathways related to addiction in the ventral tegmental area of methamphetamine self-administering rats.</w:t>
            </w:r>
            <w:r>
              <w:rPr>
                <w:rFonts w:cs="Arial" w:ascii="Arial" w:hAnsi="Arial"/>
                <w:sz w:val="24"/>
                <w:szCs w:val="24"/>
              </w:rPr>
              <w:t xml:space="preserve"> </w:t>
            </w:r>
            <w:r>
              <w:rPr>
                <w:rFonts w:cs="Arial" w:ascii="Arial" w:hAnsi="Arial"/>
                <w:sz w:val="24"/>
                <w:szCs w:val="24"/>
                <w:u w:val="single"/>
              </w:rPr>
              <w:t>BMC Neuroscience</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t>ROHgen Consortium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Directional dominance on stature and cognition in diverse human populations.</w:t>
            </w:r>
            <w:r>
              <w:rPr>
                <w:rFonts w:cs="Arial" w:ascii="Arial" w:hAnsi="Arial"/>
                <w:sz w:val="24"/>
                <w:szCs w:val="24"/>
              </w:rPr>
              <w:t xml:space="preserve"> </w:t>
            </w:r>
            <w:r>
              <w:rPr>
                <w:rFonts w:cs="Arial" w:ascii="Arial" w:hAnsi="Arial"/>
                <w:sz w:val="24"/>
                <w:szCs w:val="24"/>
                <w:u w:val="single"/>
              </w:rPr>
              <w:t>Nature</w:t>
            </w:r>
            <w:r>
              <w:rPr>
                <w:rFonts w:cs="Arial" w:ascii="Arial" w:hAnsi="Arial"/>
                <w:sz w:val="24"/>
                <w:szCs w:val="24"/>
              </w:rPr>
              <w:t xml:space="preserve"> 523, 459–462</w:t>
            </w:r>
          </w:p>
          <w:p>
            <w:pPr>
              <w:pStyle w:val="PreformattedText"/>
              <w:spacing w:before="45" w:after="45"/>
              <w:jc w:val="both"/>
              <w:rPr>
                <w:rFonts w:ascii="Arial" w:hAnsi="Arial" w:cs="Arial"/>
                <w:sz w:val="24"/>
                <w:szCs w:val="24"/>
              </w:rPr>
            </w:pPr>
            <w:r>
              <w:rPr>
                <w:rFonts w:cs="Arial" w:ascii="Arial" w:hAnsi="Arial"/>
                <w:b/>
                <w:bCs/>
                <w:sz w:val="24"/>
                <w:szCs w:val="24"/>
              </w:rPr>
              <w:t>Benton MC</w:t>
            </w:r>
            <w:r>
              <w:rPr>
                <w:rFonts w:cs="Arial" w:ascii="Arial" w:hAnsi="Arial"/>
                <w:sz w:val="24"/>
                <w:szCs w:val="24"/>
              </w:rPr>
              <w:t>, Johnstone A, Eccles D, Harmon B, Hayes MT, Lea RA, Griffiths LR, Hoffman E, Stubbs RS, Macartney-Coxson D. (</w:t>
            </w:r>
            <w:r>
              <w:rPr>
                <w:rFonts w:cs="Arial" w:ascii="Arial" w:hAnsi="Arial"/>
                <w:b/>
                <w:bCs/>
                <w:sz w:val="24"/>
                <w:szCs w:val="24"/>
              </w:rPr>
              <w:t>2015</w:t>
            </w:r>
            <w:r>
              <w:rPr>
                <w:rFonts w:cs="Arial" w:ascii="Arial" w:hAnsi="Arial"/>
                <w:sz w:val="24"/>
                <w:szCs w:val="24"/>
              </w:rPr>
              <w:t xml:space="preserve">) </w:t>
            </w:r>
            <w:r>
              <w:rPr>
                <w:rFonts w:cs="Arial" w:ascii="Arial" w:hAnsi="Arial"/>
                <w:i/>
                <w:iCs/>
                <w:sz w:val="24"/>
                <w:szCs w:val="24"/>
              </w:rPr>
              <w:t>An analysis of DNA methylation in human adipose tissue reveals differential modification of obesity genes before and after gastric bypass and weight-loss.</w:t>
            </w:r>
            <w:r>
              <w:rPr>
                <w:rFonts w:cs="Arial" w:ascii="Arial" w:hAnsi="Arial"/>
                <w:sz w:val="24"/>
                <w:szCs w:val="24"/>
              </w:rPr>
              <w:t xml:space="preserve"> </w:t>
            </w:r>
            <w:r>
              <w:rPr>
                <w:rFonts w:cs="Arial" w:ascii="Arial" w:hAnsi="Arial"/>
                <w:sz w:val="24"/>
                <w:szCs w:val="24"/>
                <w:u w:val="single"/>
              </w:rPr>
              <w:t>Genome Biology</w:t>
            </w:r>
            <w:r>
              <w:rPr>
                <w:rFonts w:cs="Arial" w:ascii="Arial" w:hAnsi="Arial"/>
                <w:sz w:val="24"/>
                <w:szCs w:val="24"/>
              </w:rPr>
              <w:t xml:space="preserve"> 16(1)</w:t>
            </w:r>
          </w:p>
          <w:p>
            <w:pPr>
              <w:pStyle w:val="PreformattedText"/>
              <w:spacing w:before="45" w:after="45"/>
              <w:jc w:val="both"/>
              <w:rPr>
                <w:rFonts w:ascii="Arial" w:hAnsi="Arial" w:cs="Arial"/>
                <w:sz w:val="24"/>
                <w:szCs w:val="24"/>
              </w:rPr>
            </w:pPr>
            <w:r>
              <w:rPr>
                <w:rFonts w:cs="Arial" w:ascii="Arial" w:hAnsi="Arial"/>
                <w:sz w:val="24"/>
                <w:szCs w:val="24"/>
              </w:rPr>
            </w:r>
          </w:p>
        </w:tc>
      </w:tr>
      <w:tr>
        <w:trPr/>
        <w:tc>
          <w:tcPr>
            <w:tcW w:w="9498" w:type="dxa"/>
            <w:tcBorders>
              <w:top w:val="single" w:sz="4" w:space="0" w:color="000000"/>
              <w:left w:val="single" w:sz="4" w:space="0" w:color="000000"/>
              <w:bottom w:val="single" w:sz="4" w:space="0" w:color="000000"/>
              <w:right w:val="single" w:sz="4" w:space="0" w:color="000000"/>
            </w:tcBorders>
            <w:shd w:color="auto" w:fill="auto" w:val="clear"/>
          </w:tcPr>
          <w:tbl>
            <w:tblPr>
              <w:tblW w:w="9498" w:type="dxa"/>
              <w:jc w:val="left"/>
              <w:tblInd w:w="-105" w:type="dxa"/>
              <w:tblCellMar>
                <w:top w:w="0" w:type="dxa"/>
                <w:left w:w="108" w:type="dxa"/>
                <w:bottom w:w="0" w:type="dxa"/>
                <w:right w:w="108" w:type="dxa"/>
              </w:tblCellMar>
              <w:tblLook w:val="0000" w:noHBand="0" w:noVBand="0" w:firstColumn="0" w:lastRow="0" w:lastColumn="0" w:firstRow="0"/>
            </w:tblPr>
            <w:tblGrid>
              <w:gridCol w:w="9498"/>
            </w:tblGrid>
            <w:tr>
              <w:trPr/>
              <w:tc>
                <w:tcPr>
                  <w:tcW w:w="9498" w:type="dxa"/>
                  <w:tcBorders>
                    <w:top w:val="single" w:sz="4" w:space="0" w:color="000000"/>
                    <w:left w:val="single" w:sz="4" w:space="0" w:color="000000"/>
                    <w:bottom w:val="single" w:sz="4" w:space="0" w:color="000000"/>
                    <w:right w:val="single" w:sz="4" w:space="0" w:color="000000"/>
                  </w:tcBorders>
                  <w:shd w:color="auto" w:fill="E0E0E0" w:val="clear"/>
                </w:tcPr>
                <w:p>
                  <w:pPr>
                    <w:pStyle w:val="Normal"/>
                    <w:rPr>
                      <w:rFonts w:ascii="Arial" w:hAnsi="Arial" w:cs="Arial"/>
                      <w:szCs w:val="24"/>
                    </w:rPr>
                  </w:pPr>
                  <w:r>
                    <w:rPr>
                      <w:rFonts w:cs="Arial" w:ascii="Arial" w:hAnsi="Arial"/>
                      <w:b w:val="false"/>
                      <w:bCs w:val="false"/>
                      <w:szCs w:val="24"/>
                    </w:rPr>
                    <w:t xml:space="preserve">Other forms of dissemination </w:t>
                  </w:r>
                </w:p>
              </w:tc>
            </w:tr>
          </w:tbl>
          <w:p>
            <w:pPr>
              <w:pStyle w:val="PreformattedText"/>
              <w:spacing w:before="45" w:after="45"/>
              <w:jc w:val="both"/>
              <w:rPr>
                <w:rFonts w:ascii="Arial" w:hAnsi="Arial" w:cs="Arial"/>
                <w:sz w:val="24"/>
                <w:szCs w:val="24"/>
              </w:rPr>
            </w:pPr>
            <w:r>
              <w:rPr>
                <w:rFonts w:cs="Arial" w:ascii="Arial" w:hAnsi="Arial"/>
                <w:sz w:val="24"/>
                <w:szCs w:val="24"/>
              </w:rPr>
              <w:t>I gave several presentations at NZ universities around the projects and initiatives that we have been working on at ESR since I started in July 2018:</w:t>
            </w:r>
          </w:p>
          <w:p>
            <w:pPr>
              <w:pStyle w:val="PreformattedText"/>
              <w:numPr>
                <w:ilvl w:val="0"/>
                <w:numId w:val="2"/>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October 17th </w:t>
            </w:r>
            <w:r>
              <w:rPr>
                <w:rFonts w:cs="Arial" w:ascii="Arial" w:hAnsi="Arial"/>
                <w:b/>
                <w:sz w:val="24"/>
                <w:szCs w:val="24"/>
              </w:rPr>
              <w:t>2019</w:t>
            </w:r>
            <w:r>
              <w:rPr>
                <w:rFonts w:cs="Arial" w:ascii="Arial" w:hAnsi="Arial"/>
                <w:sz w:val="24"/>
                <w:szCs w:val="24"/>
              </w:rPr>
              <w:t>.</w:t>
            </w:r>
          </w:p>
          <w:p>
            <w:pPr>
              <w:pStyle w:val="PreformattedText"/>
              <w:numPr>
                <w:ilvl w:val="0"/>
                <w:numId w:val="2"/>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Genomics and Data Science at ESR ...something a little different... University of Otago, Dunedin, NZ, August 20th </w:t>
            </w:r>
            <w:r>
              <w:rPr>
                <w:rFonts w:cs="Arial" w:ascii="Arial" w:hAnsi="Arial"/>
                <w:b/>
                <w:sz w:val="24"/>
                <w:szCs w:val="24"/>
              </w:rPr>
              <w:t>2019</w:t>
            </w:r>
            <w:r>
              <w:rPr>
                <w:rFonts w:cs="Arial" w:ascii="Arial" w:hAnsi="Arial"/>
                <w:sz w:val="24"/>
                <w:szCs w:val="24"/>
              </w:rPr>
              <w:t>.</w:t>
            </w:r>
          </w:p>
          <w:p>
            <w:pPr>
              <w:pStyle w:val="PreformattedText"/>
              <w:spacing w:before="45" w:after="45"/>
              <w:jc w:val="both"/>
              <w:rPr>
                <w:rFonts w:ascii="Arial" w:hAnsi="Arial" w:cs="Arial"/>
                <w:sz w:val="24"/>
                <w:szCs w:val="24"/>
              </w:rPr>
            </w:pPr>
            <w:r>
              <w:rPr>
                <w:rFonts w:cs="Arial" w:ascii="Arial" w:hAnsi="Arial"/>
                <w:sz w:val="24"/>
                <w:szCs w:val="24"/>
              </w:rPr>
              <w:t xml:space="preserve">I was invited to give a plenary at a Victoria University of Wellington clinical research symposium: </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My journey through genetics - wetlab to cafe. CLNR580 Plenary, Wellington, NZ, August 4th. </w:t>
            </w:r>
            <w:r>
              <w:rPr>
                <w:rFonts w:cs="Arial" w:ascii="Arial" w:hAnsi="Arial"/>
                <w:b/>
                <w:sz w:val="24"/>
                <w:szCs w:val="24"/>
              </w:rPr>
              <w:t>2018</w:t>
            </w:r>
          </w:p>
          <w:p>
            <w:pPr>
              <w:pStyle w:val="PreformattedText"/>
              <w:spacing w:before="45" w:after="45"/>
              <w:jc w:val="both"/>
              <w:rPr>
                <w:rFonts w:ascii="Arial" w:hAnsi="Arial" w:cs="Arial"/>
                <w:sz w:val="24"/>
                <w:szCs w:val="24"/>
              </w:rPr>
            </w:pPr>
            <w:r>
              <w:rPr>
                <w:rFonts w:cs="Arial" w:ascii="Arial" w:hAnsi="Arial"/>
                <w:sz w:val="24"/>
                <w:szCs w:val="24"/>
              </w:rPr>
              <w:t>I was invited to talk at the Wellington Hospital about how clinicians can embrace and utilise effective data recording and management tools:</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Online Resources, Databases and Clinical Data Management</w:t>
            </w:r>
            <w:r>
              <w:rPr>
                <w:rFonts w:cs="Arial" w:ascii="Arial" w:hAnsi="Arial"/>
                <w:sz w:val="24"/>
                <w:szCs w:val="24"/>
              </w:rPr>
              <w:t xml:space="preserve">. Wellington Hospital, Wellington, New Zealand, July 12th. </w:t>
            </w:r>
            <w:r>
              <w:rPr>
                <w:rFonts w:cs="Arial" w:ascii="Arial" w:hAnsi="Arial"/>
                <w:b/>
                <w:sz w:val="24"/>
                <w:szCs w:val="24"/>
              </w:rPr>
              <w:t>2017</w:t>
            </w:r>
          </w:p>
          <w:p>
            <w:pPr>
              <w:pStyle w:val="PreformattedText"/>
              <w:spacing w:before="45" w:after="45"/>
              <w:jc w:val="both"/>
              <w:rPr>
                <w:rFonts w:ascii="Arial" w:hAnsi="Arial" w:cs="Arial"/>
                <w:sz w:val="24"/>
                <w:szCs w:val="24"/>
              </w:rPr>
            </w:pPr>
            <w:r>
              <w:rPr>
                <w:rFonts w:cs="Arial" w:ascii="Arial" w:hAnsi="Arial"/>
                <w:sz w:val="24"/>
                <w:szCs w:val="24"/>
              </w:rPr>
              <w:t xml:space="preserve">I gave a lunch time seminar at the Victoria University of Wellington Cell and Molecular Biology seminar series: </w:t>
            </w:r>
          </w:p>
          <w:p>
            <w:pPr>
              <w:pStyle w:val="PreformattedText"/>
              <w:numPr>
                <w:ilvl w:val="0"/>
                <w:numId w:val="3"/>
              </w:numPr>
              <w:spacing w:before="45" w:after="45"/>
              <w:jc w:val="both"/>
              <w:rPr>
                <w:rFonts w:ascii="Arial" w:hAnsi="Arial" w:cs="Arial"/>
                <w:sz w:val="24"/>
                <w:szCs w:val="24"/>
              </w:rPr>
            </w:pPr>
            <w:r>
              <w:rPr>
                <w:rFonts w:cs="Arial" w:ascii="Arial" w:hAnsi="Arial"/>
                <w:b/>
                <w:sz w:val="24"/>
                <w:szCs w:val="24"/>
              </w:rPr>
              <w:t>Benton MC</w:t>
            </w:r>
            <w:r>
              <w:rPr>
                <w:rFonts w:cs="Arial" w:ascii="Arial" w:hAnsi="Arial"/>
                <w:sz w:val="24"/>
                <w:szCs w:val="24"/>
              </w:rPr>
              <w:t xml:space="preserve">. </w:t>
            </w:r>
            <w:r>
              <w:rPr>
                <w:rFonts w:cs="Arial" w:ascii="Arial" w:hAnsi="Arial"/>
                <w:i/>
                <w:sz w:val="24"/>
                <w:szCs w:val="24"/>
              </w:rPr>
              <w:t>My journey - how bioinformatics changed my worldview: the many platforms, data types and analyses I've learnt along the way… and other general ramblings.</w:t>
            </w:r>
            <w:r>
              <w:rPr>
                <w:rFonts w:cs="Arial" w:ascii="Arial" w:hAnsi="Arial"/>
                <w:sz w:val="24"/>
                <w:szCs w:val="24"/>
              </w:rPr>
              <w:t xml:space="preserve"> Invited speaker, CMB Friday seminar series, Vitoria University of Wellington, Wellington, New Zealand, 6th November </w:t>
            </w:r>
            <w:r>
              <w:rPr>
                <w:rFonts w:cs="Arial" w:ascii="Arial" w:hAnsi="Arial"/>
                <w:b/>
                <w:sz w:val="24"/>
                <w:szCs w:val="24"/>
              </w:rPr>
              <w:t>2015</w:t>
            </w:r>
            <w:r>
              <w:rPr>
                <w:rFonts w:cs="Arial" w:ascii="Arial" w:hAnsi="Arial"/>
                <w:sz w:val="24"/>
                <w:szCs w:val="24"/>
              </w:rPr>
              <w:t>.</w:t>
            </w:r>
          </w:p>
          <w:p>
            <w:pPr>
              <w:pStyle w:val="PreformattedText"/>
              <w:spacing w:before="45" w:after="45"/>
              <w:jc w:val="both"/>
              <w:rPr>
                <w:rFonts w:ascii="Arial" w:hAnsi="Arial" w:cs="Arial"/>
                <w:color w:val="000000"/>
                <w:sz w:val="24"/>
                <w:szCs w:val="24"/>
              </w:rPr>
            </w:pPr>
            <w:r>
              <w:rPr>
                <w:rFonts w:cs="Arial" w:ascii="Arial" w:hAnsi="Arial"/>
                <w:color w:val="000000"/>
                <w:sz w:val="24"/>
                <w:szCs w:val="24"/>
              </w:rPr>
            </w:r>
          </w:p>
        </w:tc>
      </w:tr>
    </w:tbl>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Fonts w:cs="Arial" w:ascii="Arial" w:hAnsi="Arial"/>
          <w:szCs w:val="24"/>
        </w:rPr>
      </w:r>
    </w:p>
    <w:p>
      <w:pPr>
        <w:pStyle w:val="Normal"/>
        <w:rPr>
          <w:rFonts w:ascii="Arial" w:hAnsi="Arial" w:cs="Arial"/>
          <w:szCs w:val="24"/>
        </w:rPr>
      </w:pPr>
      <w:r>
        <w:rPr/>
      </w:r>
    </w:p>
    <w:sectPr>
      <w:type w:val="nextPage"/>
      <w:pgSz w:w="11906" w:h="16838"/>
      <w:pgMar w:left="1134" w:right="1134" w:header="0" w:top="1134" w:footer="0" w:bottom="851"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1"/>
    <w:family w:val="roman"/>
    <w:pitch w:val="variable"/>
  </w:font>
  <w:font w:name="Times">
    <w:altName w:val="Times New Roman"/>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NZ"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rPr>
  </w:style>
  <w:style w:type="paragraph" w:styleId="Heading3">
    <w:name w:val="Heading 3"/>
    <w:basedOn w:val="Normal"/>
    <w:next w:val="Normal"/>
    <w:qFormat/>
    <w:pPr>
      <w:keepNext w:val="true"/>
      <w:numPr>
        <w:ilvl w:val="2"/>
        <w:numId w:val="1"/>
      </w:numPr>
      <w:outlineLvl w:val="2"/>
    </w:pPr>
    <w:rPr/>
  </w:style>
  <w:style w:type="paragraph" w:styleId="Heading4">
    <w:name w:val="Heading 4"/>
    <w:basedOn w:val="Normal"/>
    <w:next w:val="Normal"/>
    <w:qFormat/>
    <w:pPr>
      <w:keepNext w:val="true"/>
      <w:numPr>
        <w:ilvl w:val="3"/>
        <w:numId w:val="1"/>
      </w:numPr>
      <w:jc w:val="right"/>
      <w:outlineLvl w:val="3"/>
    </w:pPr>
    <w:rPr>
      <w:b/>
    </w:rPr>
  </w:style>
  <w:style w:type="paragraph" w:styleId="Heading5">
    <w:name w:val="Heading 5"/>
    <w:basedOn w:val="Normal"/>
    <w:next w:val="Normal"/>
    <w:qFormat/>
    <w:pPr>
      <w:keepNext w:val="true"/>
      <w:numPr>
        <w:ilvl w:val="4"/>
        <w:numId w:val="1"/>
      </w:numPr>
      <w:jc w:val="center"/>
      <w:outlineLvl w:val="4"/>
    </w:pPr>
    <w:rPr>
      <w:b/>
    </w:rPr>
  </w:style>
  <w:style w:type="paragraph" w:styleId="Heading6">
    <w:name w:val="Heading 6"/>
    <w:basedOn w:val="Normal"/>
    <w:next w:val="Normal"/>
    <w:qFormat/>
    <w:pPr>
      <w:keepNext w:val="true"/>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cs="Arial"/>
      <w:sz w:val="20"/>
    </w:rPr>
  </w:style>
  <w:style w:type="paragraph" w:styleId="Heading8">
    <w:name w:val="Heading 8"/>
    <w:basedOn w:val="Normal"/>
    <w:next w:val="Normal"/>
    <w:qFormat/>
    <w:pPr>
      <w:numPr>
        <w:ilvl w:val="7"/>
        <w:numId w:val="1"/>
      </w:numPr>
      <w:spacing w:before="240" w:after="60"/>
      <w:outlineLvl w:val="7"/>
    </w:pPr>
    <w:rPr>
      <w:rFonts w:ascii="Arial" w:hAnsi="Arial" w:cs="Arial"/>
      <w:i/>
      <w:sz w:val="20"/>
    </w:rPr>
  </w:style>
  <w:style w:type="paragraph" w:styleId="Heading9">
    <w:name w:val="Heading 9"/>
    <w:basedOn w:val="Normal"/>
    <w:next w:val="Normal"/>
    <w:qFormat/>
    <w:pPr>
      <w:numPr>
        <w:ilvl w:val="8"/>
        <w:numId w:val="1"/>
      </w:numPr>
      <w:outlineLvl w:val="8"/>
    </w:pPr>
    <w:rPr>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3z0" w:customStyle="1">
    <w:name w:val="WW8Num3z0"/>
    <w:qFormat/>
    <w:rPr/>
  </w:style>
  <w:style w:type="character" w:styleId="DefaultParagraphFont2" w:customStyle="1">
    <w:name w:val="Default Paragraph Font2"/>
    <w:qFormat/>
    <w:rPr/>
  </w:style>
  <w:style w:type="character" w:styleId="Pagenumber">
    <w:name w:val="page number"/>
    <w:basedOn w:val="DefaultParagraphFont2"/>
    <w:qFormat/>
    <w:rPr/>
  </w:style>
  <w:style w:type="character" w:styleId="Heading1Char" w:customStyle="1">
    <w:name w:val="Heading 1 Char"/>
    <w:qFormat/>
    <w:rPr>
      <w:b/>
      <w:sz w:val="24"/>
    </w:rPr>
  </w:style>
  <w:style w:type="character" w:styleId="BodyTextChar" w:customStyle="1">
    <w:name w:val="Body Text Char"/>
    <w:qFormat/>
    <w:rPr>
      <w:sz w:val="24"/>
    </w:rPr>
  </w:style>
  <w:style w:type="character" w:styleId="PlainTextChar" w:customStyle="1">
    <w:name w:val="Plain Text Char"/>
    <w:qFormat/>
    <w:rPr>
      <w:rFonts w:ascii="Consolas" w:hAnsi="Consolas" w:eastAsia="Calibri" w:cs="Consolas"/>
      <w:sz w:val="21"/>
      <w:szCs w:val="21"/>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alloonTextChar" w:customStyle="1">
    <w:name w:val="Balloon Text Char"/>
    <w:qFormat/>
    <w:rPr>
      <w:rFonts w:ascii="Tahoma" w:hAnsi="Tahoma" w:cs="Tahoma"/>
      <w:sz w:val="16"/>
      <w:szCs w:val="16"/>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Emphasis">
    <w:name w:val="Emphasis"/>
    <w:uiPriority w:val="20"/>
    <w:qFormat/>
    <w:rPr>
      <w:i/>
      <w:iCs/>
    </w:rPr>
  </w:style>
  <w:style w:type="character" w:styleId="StrongEmphasis">
    <w:name w:val="Strong Emphasis"/>
    <w:qFormat/>
    <w:rPr>
      <w:b/>
      <w:bCs/>
    </w:rPr>
  </w:style>
  <w:style w:type="paragraph" w:styleId="Heading" w:customStyle="1">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szCs w:val="24"/>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atLeast" w:line="220"/>
      <w:jc w:val="both"/>
    </w:pPr>
    <w:rPr>
      <w:rFonts w:ascii="Times" w:hAnsi="Times" w:cs="Times"/>
      <w:sz w:val="28"/>
    </w:rPr>
  </w:style>
  <w:style w:type="paragraph" w:styleId="Footer">
    <w:name w:val="Footer"/>
    <w:basedOn w:val="Normal"/>
    <w:pPr>
      <w:tabs>
        <w:tab w:val="clear" w:pos="720"/>
        <w:tab w:val="center" w:pos="4153" w:leader="none"/>
        <w:tab w:val="right" w:pos="8306" w:leader="none"/>
      </w:tabs>
    </w:pPr>
    <w:rPr/>
  </w:style>
  <w:style w:type="paragraph" w:styleId="BodyText2">
    <w:name w:val="Body Text 2"/>
    <w:basedOn w:val="Normal"/>
    <w:qFormat/>
    <w:pPr>
      <w:ind w:left="-426" w:hanging="0"/>
    </w:pPr>
    <w:rPr/>
  </w:style>
  <w:style w:type="paragraph" w:styleId="Title">
    <w:name w:val="Title"/>
    <w:basedOn w:val="Normal"/>
    <w:next w:val="Subtitle"/>
    <w:qFormat/>
    <w:pPr>
      <w:jc w:val="center"/>
    </w:pPr>
    <w:rPr>
      <w:b/>
    </w:rPr>
  </w:style>
  <w:style w:type="paragraph" w:styleId="Subtitle">
    <w:name w:val="Subtitle"/>
    <w:basedOn w:val="Normal"/>
    <w:next w:val="TextBody"/>
    <w:qFormat/>
    <w:pPr>
      <w:jc w:val="center"/>
    </w:pPr>
    <w:rPr>
      <w:b/>
    </w:rPr>
  </w:style>
  <w:style w:type="paragraph" w:styleId="WWBodyText2" w:customStyle="1">
    <w:name w:val="WW-Body Text 2"/>
    <w:basedOn w:val="Normal"/>
    <w:qFormat/>
    <w:pPr>
      <w:jc w:val="both"/>
    </w:pPr>
    <w:rPr/>
  </w:style>
  <w:style w:type="paragraph" w:styleId="BodyText3">
    <w:name w:val="Body Text 3"/>
    <w:basedOn w:val="Normal"/>
    <w:qFormat/>
    <w:pPr/>
    <w:rPr>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lainText">
    <w:name w:val="Plain Text"/>
    <w:basedOn w:val="Normal"/>
    <w:qFormat/>
    <w:pPr>
      <w:suppressAutoHyphens w:val="false"/>
    </w:pPr>
    <w:rPr>
      <w:rFonts w:ascii="Consolas" w:hAnsi="Consolas" w:eastAsia="Calibri" w:cs="Consolas"/>
      <w:sz w:val="21"/>
      <w:szCs w:val="21"/>
    </w:rPr>
  </w:style>
  <w:style w:type="paragraph" w:styleId="Annotationtext">
    <w:name w:val="annotation text"/>
    <w:basedOn w:val="Normal"/>
    <w:qFormat/>
    <w:pPr/>
    <w:rPr>
      <w:sz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Tahoma" w:hAnsi="Tahoma" w:cs="Tahoma"/>
      <w:sz w:val="16"/>
      <w:szCs w:val="16"/>
    </w:rPr>
  </w:style>
  <w:style w:type="paragraph" w:styleId="PreformattedText" w:customStyle="1">
    <w:name w:val="Preformatted Text"/>
    <w:basedOn w:val="Normal"/>
    <w:qFormat/>
    <w:pPr>
      <w:widowControl w:val="false"/>
      <w:suppressAutoHyphens w:val="false"/>
    </w:pPr>
    <w:rPr>
      <w:rFonts w:ascii="DejaVu Sans Mono" w:hAnsi="DejaVu Sans Mono" w:eastAsia="WenQuanYi Micro Hei Mono" w:cs="Lohit Devanagari"/>
      <w:sz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les.benton84@gmail.com" TargetMode="External"/><Relationship Id="rId3" Type="http://schemas.openxmlformats.org/officeDocument/2006/relationships/hyperlink" Target="mailto:miles.benton@esr.cri.nz"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LibreOffice/6.4.1.2$Linux_X86_64 LibreOffice_project/40$Build-2</Application>
  <Pages>6</Pages>
  <Words>1940</Words>
  <Characters>11602</Characters>
  <CharactersWithSpaces>13478</CharactersWithSpaces>
  <Paragraphs>125</Paragraphs>
  <Company>Institute of Environmental and Science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2020-02-16T23:10:00Z</dcterms:created>
  <dc:creator>Alistair Dunn &amp; Rachel Averill</dc:creator>
  <dc:description/>
  <dc:language>en-NZ</dc:language>
  <cp:lastModifiedBy>Miles Benton</cp:lastModifiedBy>
  <cp:lastPrinted>2020-02-03T22:06:00Z</cp:lastPrinted>
  <dcterms:modified xsi:type="dcterms:W3CDTF">2020-04-20T21:27:45Z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Institute of Environmental and Science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