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73B45"/>
          <w:sz w:val="58"/>
        </w:rPr>
        <w:t>PFAS Exposure and Liver Outcomes</w:t>
      </w:r>
    </w:p>
    <w:p>
      <w:pPr>
        <w:jc w:val="center"/>
      </w:pPr>
      <w:r>
        <w:rPr>
          <w:color w:val="087F8C"/>
          <w:sz w:val="30"/>
        </w:rPr>
        <w:t>Plots, interpretation, evidence summary, and research implications</w:t>
      </w:r>
    </w:p>
    <w:p>
      <w:pPr>
        <w:jc w:val="center"/>
      </w:pPr>
      <w:r>
        <w:rPr>
          <w:b/>
        </w:rPr>
        <w:t>Prepared 23 September 2026</w:t>
      </w:r>
    </w:p>
    <w:p>
      <w:r>
        <w:br w:type="page"/>
      </w:r>
    </w:p>
    <w:p>
      <w:pPr>
        <w:pStyle w:val="Heading1"/>
      </w:pPr>
      <w:r>
        <w:t>How to read these plots</w:t>
      </w:r>
    </w:p>
    <w:p>
      <w:r>
        <w:t>The figures summarize adjusted estimates from published human studies. Percent changes, odds ratios, regression coefficients, meta-analytic z-scores, and mixture weights answer different questions and are therefore kept separate.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D9"/>
          </w:tcPr>
          <w:p>
            <w:r>
              <w:rPr>
                <w:b/>
              </w:rPr>
              <w:t xml:space="preserve">Interpretation guardrail: </w:t>
            </w:r>
            <w:r>
              <w:t>These observational associations do not alone prove that PFAS caused liver injury. Population, exposure range, year, assay, outcome definition, and statistical adjustment differ across studies.</w:t>
            </w:r>
          </w:p>
        </w:tc>
      </w:tr>
    </w:tbl>
    <w:p>
      <w:pPr>
        <w:pStyle w:val="Heading2"/>
      </w:pPr>
      <w:r>
        <w:t>Main findings</w:t>
      </w:r>
    </w:p>
    <w:p>
      <w:pPr>
        <w:pStyle w:val="ListBullet"/>
      </w:pPr>
      <w:r>
        <w:t>ALT, AST, and GGT show the most recurring positive signals.</w:t>
      </w:r>
    </w:p>
    <w:p>
      <w:pPr>
        <w:pStyle w:val="ListBullet"/>
      </w:pPr>
      <w:r>
        <w:t>Mixture analyses find associations even when individual-compound results vary.</w:t>
      </w:r>
    </w:p>
    <w:p>
      <w:pPr>
        <w:pStyle w:val="ListBullet"/>
      </w:pPr>
      <w:r>
        <w:t>Pediatric PFOS/PFHxS estimates point toward NASH and fibrosis, but come from a small cohort.</w:t>
      </w:r>
    </w:p>
    <w:p>
      <w:pPr>
        <w:pStyle w:val="ListBullet"/>
      </w:pPr>
      <w:r>
        <w:t>NAFLD and FIB-4 findings are less uniform and can be null, subgroup-specific, or nonlinear.</w:t>
      </w:r>
    </w:p>
    <w:p>
      <w:pPr>
        <w:pStyle w:val="Heading1"/>
      </w:pPr>
      <w:r>
        <w:t>Liver-enzyme change</w:t>
      </w:r>
    </w:p>
    <w:p>
      <w:r>
        <w:drawing>
          <wp:inline xmlns:a="http://schemas.openxmlformats.org/drawingml/2006/main" xmlns:pic="http://schemas.openxmlformats.org/drawingml/2006/picture">
            <wp:extent cx="6126480" cy="3974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ver_enzyme_chan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74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484"/>
          <w:sz w:val="17"/>
        </w:rPr>
        <w:t xml:space="preserve">Figure 1. Adjusted percent change per one-quartile simultaneous increase in the PFAS mixture; bars are 95% CIs. </w:t>
      </w:r>
      <w:hyperlink r:id="rId12">
        <w:r>
          <w:rPr>
            <w:color w:val="056E83"/>
            <w:u w:val="single"/>
          </w:rPr>
          <w:t>Source</w:t>
        </w:r>
      </w:hyperlink>
    </w:p>
    <w:p>
      <w:r>
        <w:t>AST, GGT, and ALP confidence intervals are above zero. GGT has the largest point estimate but the widest interval. ALT and bilirubin were not consistently associated in this analysis.</w:t>
      </w:r>
    </w:p>
    <w:p>
      <w:pPr>
        <w:pStyle w:val="Heading1"/>
      </w:pPr>
      <w:r>
        <w:t>Clinical liver outcomes</w:t>
      </w:r>
    </w:p>
    <w:p>
      <w:r>
        <w:drawing>
          <wp:inline xmlns:a="http://schemas.openxmlformats.org/drawingml/2006/main" xmlns:pic="http://schemas.openxmlformats.org/drawingml/2006/picture">
            <wp:extent cx="6126480" cy="3462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linical_outcome_od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6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484"/>
          <w:sz w:val="17"/>
        </w:rPr>
        <w:t xml:space="preserve">Figure 2. Adjusted odds ratios per IQR increase in PFOS or PFHxS; bars are 95% CIs. </w:t>
      </w:r>
      <w:hyperlink r:id="rId14">
        <w:r>
          <w:rPr>
            <w:color w:val="056E83"/>
            <w:u w:val="single"/>
          </w:rPr>
          <w:t>Source</w:t>
        </w:r>
      </w:hyperlink>
    </w:p>
    <w:p>
      <w:r>
        <w:t>The estimates point toward higher odds of NASH, fibrosis, and lobular inflammation. Wide intervals reflect the cohort size of 74, so these are suggestive rather than precise population-wide risk estimates.</w:t>
      </w:r>
    </w:p>
    <w:p>
      <w:pPr>
        <w:pStyle w:val="Heading1"/>
      </w:pPr>
      <w:r>
        <w:t>Mixture contribution</w:t>
      </w:r>
    </w:p>
    <w:p>
      <w:r>
        <w:drawing>
          <wp:inline xmlns:a="http://schemas.openxmlformats.org/drawingml/2006/main" xmlns:pic="http://schemas.openxmlformats.org/drawingml/2006/picture">
            <wp:extent cx="6126480" cy="3667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fna_mixture_weigh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67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484"/>
          <w:sz w:val="17"/>
        </w:rPr>
        <w:t xml:space="preserve">Figure 3. PFNA weight in positive-direction WQS models for four liver biomarkers. </w:t>
      </w:r>
      <w:hyperlink r:id="rId16">
        <w:r>
          <w:rPr>
            <w:color w:val="056E83"/>
            <w:u w:val="single"/>
          </w:rPr>
          <w:t>Source</w:t>
        </w:r>
      </w:hyperlink>
    </w:p>
    <w:p>
      <w:r>
        <w:t>PFNA received the largest reported contribution for these outcomes. WQS weights describe mixture composition; they are not percentages of disease caused or effect sizes.</w:t>
      </w:r>
    </w:p>
    <w:p>
      <w:pPr>
        <w:pStyle w:val="Heading1"/>
      </w:pPr>
      <w:r>
        <w:t>Consistency across studies</w:t>
      </w:r>
    </w:p>
    <w:p>
      <w:r>
        <w:drawing>
          <wp:inline xmlns:a="http://schemas.openxmlformats.org/drawingml/2006/main" xmlns:pic="http://schemas.openxmlformats.org/drawingml/2006/picture">
            <wp:extent cx="6126480" cy="26491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idence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649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7484"/>
          <w:sz w:val="17"/>
        </w:rPr>
        <w:t xml:space="preserve">Figure 4. Qualitative map of adjusted findings across selected studies. </w:t>
      </w:r>
      <w:hyperlink r:id="rId18">
        <w:r>
          <w:rPr>
            <w:color w:val="056E83"/>
            <w:u w:val="single"/>
          </w:rPr>
          <w:t>Source</w:t>
        </w:r>
      </w:hyperlink>
    </w:p>
    <w:p>
      <w:r>
        <w:t>The map shows recurring enzyme signals and substantial heterogeneity. It also shows why a single correlation between regional PFAS summaries and regional liver outcomes would be misleading.</w:t>
      </w:r>
    </w:p>
    <w:p>
      <w:pPr>
        <w:pStyle w:val="Heading1"/>
      </w:pPr>
      <w:r>
        <w:t>Selected estimates using other scales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173B45"/>
          </w:tcPr>
          <w:p>
            <w:r>
              <w:rPr>
                <w:b/>
                <w:color w:val="FFFFFF"/>
                <w:sz w:val="16"/>
              </w:rPr>
              <w:t>Study</w:t>
            </w:r>
          </w:p>
        </w:tc>
        <w:tc>
          <w:tcPr>
            <w:tcW w:type="dxa" w:w="2033"/>
            <w:shd w:fill="173B45"/>
          </w:tcPr>
          <w:p>
            <w:r>
              <w:rPr>
                <w:b/>
                <w:color w:val="FFFFFF"/>
                <w:sz w:val="16"/>
              </w:rPr>
              <w:t>Exposure</w:t>
            </w:r>
          </w:p>
        </w:tc>
        <w:tc>
          <w:tcPr>
            <w:tcW w:type="dxa" w:w="2033"/>
            <w:shd w:fill="173B45"/>
          </w:tcPr>
          <w:p>
            <w:r>
              <w:rPr>
                <w:b/>
                <w:color w:val="FFFFFF"/>
                <w:sz w:val="16"/>
              </w:rPr>
              <w:t>Outcome</w:t>
            </w:r>
          </w:p>
        </w:tc>
        <w:tc>
          <w:tcPr>
            <w:tcW w:type="dxa" w:w="2033"/>
            <w:shd w:fill="173B45"/>
          </w:tcPr>
          <w:p>
            <w:r>
              <w:rPr>
                <w:b/>
                <w:color w:val="FFFFFF"/>
                <w:sz w:val="16"/>
              </w:rPr>
              <w:t>Adjusted estimate</w:t>
            </w:r>
          </w:p>
        </w:tc>
        <w:tc>
          <w:tcPr>
            <w:tcW w:type="dxa" w:w="2033"/>
            <w:shd w:fill="173B45"/>
          </w:tcPr>
          <w:p>
            <w:r>
              <w:rPr>
                <w:b/>
                <w:color w:val="FFFFFF"/>
                <w:sz w:val="16"/>
              </w:rPr>
              <w:t>Population</w:t>
            </w:r>
          </w:p>
        </w:tc>
      </w:tr>
      <w:tr>
        <w:tc>
          <w:tcPr>
            <w:tcW w:type="dxa" w:w="2033"/>
          </w:tcPr>
          <w:p>
            <w:r>
              <w:rPr>
                <w:sz w:val="15"/>
              </w:rPr>
              <w:t>Lin 2010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PFOA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ALT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+1.86 U/L (1.24–2.48)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NHANES; n=2,216</w:t>
            </w:r>
          </w:p>
        </w:tc>
      </w:tr>
      <w:tr>
        <w:tc>
          <w:tcPr>
            <w:tcW w:type="dxa" w:w="2033"/>
            <w:shd w:fill="F1F6F7"/>
          </w:tcPr>
          <w:p>
            <w:r>
              <w:rPr>
                <w:sz w:val="15"/>
              </w:rPr>
              <w:t>Lin 2010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PFOA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log GGT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β=.08 (.05–.11)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NHANES; n=2,216</w:t>
            </w:r>
          </w:p>
        </w:tc>
      </w:tr>
      <w:tr>
        <w:tc>
          <w:tcPr>
            <w:tcW w:type="dxa" w:w="2033"/>
          </w:tcPr>
          <w:p>
            <w:r>
              <w:rPr>
                <w:sz w:val="15"/>
              </w:rPr>
              <w:t>Cheng 2023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PFOS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FIB-4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β=.07 (.01–.13)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NHANES; n=1,150</w:t>
            </w:r>
          </w:p>
        </w:tc>
      </w:tr>
      <w:tr>
        <w:tc>
          <w:tcPr>
            <w:tcW w:type="dxa" w:w="2033"/>
            <w:shd w:fill="F1F6F7"/>
          </w:tcPr>
          <w:p>
            <w:r>
              <w:rPr>
                <w:sz w:val="15"/>
              </w:rPr>
              <w:t>Jin 2020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PFHxS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NAFLD activity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β=.46 (.03–.89)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Pediatric; n=74</w:t>
            </w:r>
          </w:p>
        </w:tc>
      </w:tr>
      <w:tr>
        <w:tc>
          <w:tcPr>
            <w:tcW w:type="dxa" w:w="2033"/>
          </w:tcPr>
          <w:p>
            <w:r>
              <w:rPr>
                <w:sz w:val="15"/>
              </w:rPr>
              <w:t>Costello 2022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PFOA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ALT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weighted z=6.20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24 studies</w:t>
            </w:r>
          </w:p>
        </w:tc>
      </w:tr>
      <w:tr>
        <w:tc>
          <w:tcPr>
            <w:tcW w:type="dxa" w:w="2033"/>
            <w:shd w:fill="F1F6F7"/>
          </w:tcPr>
          <w:p>
            <w:r>
              <w:rPr>
                <w:sz w:val="15"/>
              </w:rPr>
              <w:t>Costello 2022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PFOS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ALT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weighted z=3.55</w:t>
            </w:r>
          </w:p>
        </w:tc>
        <w:tc>
          <w:tcPr>
            <w:tcW w:type="dxa" w:w="2033"/>
            <w:shd w:fill="F1F6F7"/>
          </w:tcPr>
          <w:p>
            <w:r>
              <w:rPr>
                <w:sz w:val="15"/>
              </w:rPr>
              <w:t>24 studies</w:t>
            </w:r>
          </w:p>
        </w:tc>
      </w:tr>
      <w:tr>
        <w:tc>
          <w:tcPr>
            <w:tcW w:type="dxa" w:w="2033"/>
          </w:tcPr>
          <w:p>
            <w:r>
              <w:rPr>
                <w:sz w:val="15"/>
              </w:rPr>
              <w:t>Costello 2022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PFNA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ALT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weighted z=2.27</w:t>
            </w:r>
          </w:p>
        </w:tc>
        <w:tc>
          <w:tcPr>
            <w:tcW w:type="dxa" w:w="2033"/>
          </w:tcPr>
          <w:p>
            <w:r>
              <w:rPr>
                <w:sz w:val="15"/>
              </w:rPr>
              <w:t>24 studies</w:t>
            </w:r>
          </w:p>
        </w:tc>
      </w:tr>
    </w:tbl>
    <w:p>
      <w:r>
        <w:t>These estimates are tabulated rather than placed on one axis because their units and statistical meanings are not commensurate.</w:t>
      </w:r>
    </w:p>
    <w:p>
      <w:pPr>
        <w:pStyle w:val="Heading1"/>
      </w:pPr>
      <w:r>
        <w:t>Recommended participant-level analysis</w:t>
      </w:r>
    </w:p>
    <w:p>
      <w:r>
        <w:t>Plot log₂ serum PFAS against log-transformed ALT, AST, and GGT for the same participants, using a flexible smoother with a 95% confidence band. Then report adjusted estimates per exposure doubling or per IQR.</w:t>
      </w:r>
    </w:p>
    <w:p>
      <w:r>
        <w:rPr>
          <w:b/>
        </w:rPr>
        <w:t xml:space="preserve">Describe — </w:t>
      </w:r>
      <w:r>
        <w:t>Examine distributions, detection frequencies, missingness, and PFAS correlations.</w:t>
      </w:r>
    </w:p>
    <w:p>
      <w:r>
        <w:rPr>
          <w:b/>
        </w:rPr>
        <w:t xml:space="preserve">Visualize — </w:t>
      </w:r>
      <w:r>
        <w:t>Use individual-level scatter or hexbin plots with nonlinear smoothers.</w:t>
      </w:r>
    </w:p>
    <w:p>
      <w:r>
        <w:rPr>
          <w:b/>
        </w:rPr>
        <w:t xml:space="preserve">Adjust — </w:t>
      </w:r>
      <w:r>
        <w:t>Include age, sex, race/ethnicity, BMI or waist, alcohol, smoking, diabetes, lipids, medications, kidney function, fasting, hepatitis status, and survey design where applicable.</w:t>
      </w:r>
    </w:p>
    <w:p>
      <w:r>
        <w:rPr>
          <w:b/>
        </w:rPr>
        <w:t xml:space="preserve">Model mixtures — </w:t>
      </w:r>
      <w:r>
        <w:t>Compare individual-PFAS models with a prespecified mixture method.</w:t>
      </w:r>
    </w:p>
    <w:p>
      <w:r>
        <w:rPr>
          <w:b/>
        </w:rPr>
        <w:t xml:space="preserve">Validate — </w:t>
      </w:r>
      <w:r>
        <w:t>Report sensitivity analyses, multiplicity control, calibration, and external validation where possible.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5F2"/>
          </w:tcPr>
          <w:p>
            <w:r>
              <w:rPr>
                <w:b/>
              </w:rPr>
              <w:t xml:space="preserve">Primary endpoints: </w:t>
            </w:r>
            <w:r>
              <w:t>Use ALT, AST, and GGT as primary continuous outcomes. Treat ALP, bilirubin, FIB-4, and diagnosed NAFLD/NASH as secondary unless sample size and clinical ascertainment are strong.</w:t>
            </w:r>
          </w:p>
        </w:tc>
      </w:tr>
    </w:tbl>
    <w:p>
      <w:pPr>
        <w:pStyle w:val="Heading1"/>
      </w:pPr>
      <w:r>
        <w:t>References</w:t>
      </w:r>
    </w:p>
    <w:p>
      <w:pPr>
        <w:pStyle w:val="ListNumber"/>
      </w:pPr>
      <w:hyperlink r:id="rId12">
        <w:r>
          <w:rPr>
            <w:color w:val="056E83"/>
            <w:u w:val="single"/>
          </w:rPr>
          <w:t>Borghese et al. 2022 — CHMS mixture analysis</w:t>
        </w:r>
      </w:hyperlink>
    </w:p>
    <w:p>
      <w:pPr>
        <w:pStyle w:val="ListNumber"/>
      </w:pPr>
      <w:hyperlink r:id="rId14">
        <w:r>
          <w:rPr>
            <w:color w:val="056E83"/>
            <w:u w:val="single"/>
          </w:rPr>
          <w:t>Jin et al. 2020 — pediatric NAFLD</w:t>
        </w:r>
      </w:hyperlink>
    </w:p>
    <w:p>
      <w:pPr>
        <w:pStyle w:val="ListNumber"/>
      </w:pPr>
      <w:hyperlink r:id="rId19">
        <w:r>
          <w:rPr>
            <w:color w:val="056E83"/>
            <w:u w:val="single"/>
          </w:rPr>
          <w:t>Lin et al. 2010 — NHANES liver biomarkers</w:t>
        </w:r>
      </w:hyperlink>
    </w:p>
    <w:p>
      <w:pPr>
        <w:pStyle w:val="ListNumber"/>
      </w:pPr>
      <w:hyperlink r:id="rId20">
        <w:r>
          <w:rPr>
            <w:color w:val="056E83"/>
            <w:u w:val="single"/>
          </w:rPr>
          <w:t>Jain and Ducatman 2019 — obesity-stratified NHANES</w:t>
        </w:r>
      </w:hyperlink>
    </w:p>
    <w:p>
      <w:pPr>
        <w:pStyle w:val="ListNumber"/>
      </w:pPr>
      <w:hyperlink r:id="rId21">
        <w:r>
          <w:rPr>
            <w:color w:val="056E83"/>
            <w:u w:val="single"/>
          </w:rPr>
          <w:t>Cheng et al. 2023 — NHANES NAFLD and fibrosis</w:t>
        </w:r>
      </w:hyperlink>
    </w:p>
    <w:p>
      <w:pPr>
        <w:pStyle w:val="ListNumber"/>
      </w:pPr>
      <w:hyperlink r:id="rId16">
        <w:r>
          <w:rPr>
            <w:color w:val="056E83"/>
            <w:u w:val="single"/>
          </w:rPr>
          <w:t>Yan et al. 2024 — NHANES mixture analysis</w:t>
        </w:r>
      </w:hyperlink>
    </w:p>
    <w:p>
      <w:pPr>
        <w:pStyle w:val="ListNumber"/>
      </w:pPr>
      <w:hyperlink r:id="rId18">
        <w:r>
          <w:rPr>
            <w:color w:val="056E83"/>
            <w:u w:val="single"/>
          </w:rPr>
          <w:t>Costello et al. 2022 — systematic review and meta-analysis</w:t>
        </w:r>
      </w:hyperlink>
    </w:p>
    <w:p>
      <w:r>
        <w:t>The companion PFAS_liver_outcome_effects_data.csv contains the numeric values, study details, confidence intervals, interpretations, and source URLs.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PFAS EXPOSURE AND LIVER OUTCOMES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F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pmc.ncbi.nlm.nih.gov/articles/PMC9472375/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pmc.ncbi.nlm.nih.gov/articles/PMC6944061/" TargetMode="External"/><Relationship Id="rId15" Type="http://schemas.openxmlformats.org/officeDocument/2006/relationships/image" Target="media/image3.png"/><Relationship Id="rId16" Type="http://schemas.openxmlformats.org/officeDocument/2006/relationships/hyperlink" Target="https://pmc.ncbi.nlm.nih.gov/articles/PMC11629162/" TargetMode="External"/><Relationship Id="rId17" Type="http://schemas.openxmlformats.org/officeDocument/2006/relationships/image" Target="media/image4.png"/><Relationship Id="rId18" Type="http://schemas.openxmlformats.org/officeDocument/2006/relationships/hyperlink" Target="https://pmc.ncbi.nlm.nih.gov/articles/PMC9044977/" TargetMode="External"/><Relationship Id="rId19" Type="http://schemas.openxmlformats.org/officeDocument/2006/relationships/hyperlink" Target="https://pubmed.ncbi.nlm.nih.gov/20010922/" TargetMode="External"/><Relationship Id="rId20" Type="http://schemas.openxmlformats.org/officeDocument/2006/relationships/hyperlink" Target="https://pubmed.ncbi.nlm.nih.gov/30589657/" TargetMode="External"/><Relationship Id="rId21" Type="http://schemas.openxmlformats.org/officeDocument/2006/relationships/hyperlink" Target="https://pmc.ncbi.nlm.nih.gov/articles/PMC1028143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