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9EDF7">
      <w:pPr>
        <w:pStyle w:val="5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AI Semiconductor Supercycle Risk Brief</w:t>
      </w:r>
    </w:p>
    <w:p w14:paraId="692AA4C0">
      <w:pPr>
        <w:pStyle w:val="5"/>
        <w:bidi w:val="0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Tail Risk &amp; Volatility Persistence (2018–2023): Evidence from Student‑t GARCH(1,1)</w:t>
      </w:r>
    </w:p>
    <w:p w14:paraId="4A553264">
      <w:pPr>
        <w:pStyle w:val="5"/>
        <w:bidi w:val="0"/>
        <w:rPr>
          <w:rFonts w:hint="eastAsia"/>
          <w:color w:val="44546A" w:themeColor="text2"/>
          <w:sz w:val="20"/>
          <w:szCs w:val="20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sz w:val="20"/>
          <w:szCs w:val="20"/>
          <w14:textFill>
            <w14:solidFill>
              <w14:schemeClr w14:val="tx2"/>
            </w14:solidFill>
          </w14:textFill>
        </w:rPr>
        <w:t>Author: Sirui Zhu | Target Role: Data Analytics (Portfolio/Risk Insight)</w:t>
      </w:r>
    </w:p>
    <w:p w14:paraId="33F6D691">
      <w:pPr>
        <w:pStyle w:val="5"/>
        <w:bidi w:val="0"/>
        <w:rPr>
          <w:rFonts w:hint="eastAsia"/>
          <w:color w:val="44546A" w:themeColor="text2"/>
          <w:sz w:val="20"/>
          <w:szCs w:val="20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sz w:val="20"/>
          <w:szCs w:val="20"/>
          <w14:textFill>
            <w14:solidFill>
              <w14:schemeClr w14:val="tx2"/>
            </w14:solidFill>
          </w14:textFill>
        </w:rPr>
        <w:t xml:space="preserve">Deliverable: 2‑page </w:t>
      </w:r>
      <w:r>
        <w:rPr>
          <w:rFonts w:hint="eastAsia" w:eastAsia="宋体"/>
          <w:color w:val="44546A" w:themeColor="text2"/>
          <w:sz w:val="20"/>
          <w:szCs w:val="20"/>
          <w:lang w:val="en-US" w:eastAsia="zh-CN"/>
          <w14:textFill>
            <w14:solidFill>
              <w14:schemeClr w14:val="tx2"/>
            </w14:solidFill>
          </w14:textFill>
        </w:rPr>
        <w:t>brief</w:t>
      </w:r>
      <w:r>
        <w:rPr>
          <w:rFonts w:hint="eastAsia"/>
          <w:color w:val="44546A" w:themeColor="text2"/>
          <w:sz w:val="20"/>
          <w:szCs w:val="20"/>
          <w14:textFill>
            <w14:solidFill>
              <w14:schemeClr w14:val="tx2"/>
            </w14:solidFill>
          </w14:textFill>
        </w:rPr>
        <w:t xml:space="preserve"> + reproducible code (GitHub)</w:t>
      </w:r>
    </w:p>
    <w:p w14:paraId="0C504209">
      <w:pPr>
        <w:pStyle w:val="5"/>
        <w:bidi w:val="0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3489960</wp:posOffset>
                </wp:positionH>
                <wp:positionV relativeFrom="paragraph">
                  <wp:posOffset>93345</wp:posOffset>
                </wp:positionV>
                <wp:extent cx="2919095" cy="368173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23360" y="2154555"/>
                          <a:ext cx="2919095" cy="3681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58A6A">
                            <w:pP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</w:rPr>
                              <w:t>Key Findings</w:t>
                            </w:r>
                          </w:p>
                          <w:p w14:paraId="6400321F">
                            <w:pPr>
                              <w:rPr>
                                <w:rFonts w:hint="eastAsia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10CE1A2D">
                            <w:pP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Fat tails are real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2517AB7">
                            <w:pP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</w:rPr>
                              <w:t>Non‑normal returns imply Gaussian risk metrics underestimate extreme moves.</w:t>
                            </w:r>
                          </w:p>
                          <w:p w14:paraId="09C3EE61">
                            <w:pPr>
                              <w:rPr>
                                <w:rFonts w:hint="eastAsia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1F07ECE5">
                            <w:pP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</w:rPr>
                              <w:t xml:space="preserve">Volatility shocks persist </w:t>
                            </w:r>
                          </w:p>
                          <w:p w14:paraId="28DC48B1">
                            <w:pP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</w:rPr>
                              <w:t>For NVDA, volatility persistence is near unity (α+β ≈ 0.974)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</w:rPr>
                              <w:t>suggests volatility shocks remain elevated for longer.</w:t>
                            </w:r>
                          </w:p>
                          <w:p w14:paraId="73903DCE">
                            <w:pPr>
                              <w:rPr>
                                <w:rFonts w:hint="eastAsia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6C8AF126">
                            <w:pP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</w:rPr>
                              <w:t>Student‑t GARCH outperforms Normal GARCH</w:t>
                            </w:r>
                          </w:p>
                          <w:p w14:paraId="133658B3">
                            <w:pPr>
                              <w:rPr>
                                <w:rFonts w:hint="default" w:ascii="Times New Roman Regular" w:hAnsi="Times New Roman Regular" w:cs="Times New Roman Regular" w:eastAsiaTheme="minorEastAsia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</w:rPr>
                              <w:t xml:space="preserve">NVDA’s AIC improves from 7610.66 (Normal) to 7496.27 (Student‑t), 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  <w:t xml:space="preserve">with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</w:rPr>
                              <w:t xml:space="preserve">ν ≈ 6.07 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  <w:t>supporting heavy-tails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  <w:t xml:space="preserve"> risk.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4.8pt;margin-top:7.35pt;height:289.9pt;width:229.85pt;z-index:251660288;mso-width-relative:page;mso-height-relative:page;" filled="f" stroked="f" coordsize="21600,21600" o:gfxdata="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FgAAAGRycy9QSwECFAAUAAAA&#10;CACHTuJAPfOkCNsAAAALAQAADwAAAAAAAAABACAAAAA4AAAAZHJzL2Rvd25yZXYueG1sUEsBAhQA&#10;FAAAAAgAh07iQJ19rfxLAgAAcwQAAA4AAAAAAAAAAQAgAAAAQAEAAGRycy9lMm9Eb2MueG1sUEsF&#10;BgAAAAAGAAYAWQEAAP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558A6A">
                      <w:pP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</w:rPr>
                        <w:t>Key Findings</w:t>
                      </w:r>
                    </w:p>
                    <w:p w14:paraId="6400321F">
                      <w:pPr>
                        <w:rPr>
                          <w:rFonts w:hint="eastAsia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10CE1A2D">
                      <w:pP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  <w:t>·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</w:rPr>
                        <w:t>Fat tails are real</w:t>
                      </w:r>
                      <w: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2517AB7">
                      <w:pP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</w:rPr>
                        <w:t>Non‑normal returns imply Gaussian risk metrics underestimate extreme moves.</w:t>
                      </w:r>
                    </w:p>
                    <w:p w14:paraId="09C3EE61">
                      <w:pPr>
                        <w:rPr>
                          <w:rFonts w:hint="eastAsia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1F07ECE5">
                      <w:pP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  <w:t>·</w:t>
                      </w:r>
                      <w: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</w:rPr>
                        <w:t xml:space="preserve">Volatility shocks persist </w:t>
                      </w:r>
                    </w:p>
                    <w:p w14:paraId="28DC48B1">
                      <w:pP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</w:rPr>
                        <w:t>For NVDA, volatility persistence is near unity (α+β ≈ 0.974)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</w:rPr>
                        <w:t>suggests volatility shocks remain elevated for longer.</w:t>
                      </w:r>
                    </w:p>
                    <w:p w14:paraId="73903DCE">
                      <w:pPr>
                        <w:rPr>
                          <w:rFonts w:hint="eastAsia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6C8AF126">
                      <w:pP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  <w:t>·</w:t>
                      </w:r>
                      <w: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</w:rPr>
                        <w:t>Student‑t GARCH outperforms Normal GARCH</w:t>
                      </w:r>
                    </w:p>
                    <w:p w14:paraId="133658B3">
                      <w:pPr>
                        <w:rPr>
                          <w:rFonts w:hint="default" w:ascii="Times New Roman Regular" w:hAnsi="Times New Roman Regular" w:cs="Times New Roman Regular" w:eastAsiaTheme="minorEastAsia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</w:rPr>
                        <w:t xml:space="preserve">NVDA’s AIC improves from 7610.66 (Normal) to 7496.27 (Student‑t), 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  <w:t xml:space="preserve">with </w:t>
                      </w:r>
                      <w: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</w:rPr>
                        <w:t xml:space="preserve">ν ≈ 6.07 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  <w:t>supporting heavy-tails</w:t>
                      </w:r>
                      <w: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  <w:t xml:space="preserve"> risk.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104140</wp:posOffset>
                </wp:positionV>
                <wp:extent cx="2976880" cy="366585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890" y="2172335"/>
                          <a:ext cx="2976880" cy="3665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64C9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0" w:leftChars="0" w:right="105" w:rightChars="50"/>
                              <w:textAlignment w:val="auto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Business Question</w:t>
                            </w:r>
                          </w:p>
                          <w:p w14:paraId="1C9E1905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0" w:leftChars="0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32EA0E43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0" w:leftChars="0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  <w:t xml:space="preserve">How do tail risk and volatility regimes differ across AI‑semiconductor assets, and which model best captures extreme downside moves? </w:t>
                            </w:r>
                          </w:p>
                          <w:p w14:paraId="556C657D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/>
                              <w:ind w:left="0" w:leftChars="0" w:right="0" w:rightChars="0"/>
                              <w:textAlignment w:val="auto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08835B6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/>
                              <w:ind w:left="0" w:leftChars="0" w:right="0" w:rightChars="0"/>
                              <w:textAlignment w:val="auto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0FC836E5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/>
                              <w:ind w:left="0" w:leftChars="0" w:right="0" w:rightChars="0"/>
                              <w:textAlignment w:val="auto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2957315D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/>
                              <w:ind w:left="0" w:leftChars="0" w:right="0" w:rightChars="0"/>
                              <w:textAlignment w:val="auto"/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Asset Universe</w:t>
                            </w:r>
                          </w:p>
                          <w:p w14:paraId="3068AE11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0" w:leftChars="0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1DF5DC22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0" w:leftChars="0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22"/>
                                <w:szCs w:val="22"/>
                                <w:lang w:val="en-US" w:eastAsia="zh-CN"/>
                              </w:rPr>
                              <w:t>NVDA (AI infrastructure leader), INTC (legacy incumbent under transition), TSM (geopolitical/supply‑chain bellwether) and Nasdaq Composite (^IXIC) as the tech market benchmark.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95pt;margin-top:8.2pt;height:288.65pt;width:234.4pt;z-index:251659264;mso-width-relative:page;mso-height-relative:page;" filled="f" stroked="f" coordsize="21600,21600" o:gfxdata="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FgAAAGRycy9QSwECFAAUAAAACACH&#10;TuJALQyObtsAAAAJAQAADwAAAAAAAAABACAAAAA4AAAAZHJzL2Rvd25yZXYueG1sUEsBAhQAFAAA&#10;AAgAh07iQNnfNFpIAgAAcgQAAA4AAAAAAAAAAQAgAAAAQAEAAGRycy9lMm9Eb2MueG1sUEsFBgAA&#10;AAAGAAYAWQEAAP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864C97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0" w:leftChars="0" w:right="105" w:rightChars="50"/>
                        <w:textAlignment w:val="auto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Business Question</w:t>
                      </w:r>
                    </w:p>
                    <w:p w14:paraId="1C9E1905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0" w:leftChars="0"/>
                        <w:textAlignment w:val="auto"/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32EA0E43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0" w:leftChars="0"/>
                        <w:textAlignment w:val="auto"/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  <w:t xml:space="preserve">How do tail risk and volatility regimes differ across AI‑semiconductor assets, and which model best captures extreme downside moves? </w:t>
                      </w:r>
                    </w:p>
                    <w:p w14:paraId="556C657D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/>
                        <w:ind w:left="0" w:leftChars="0" w:right="0" w:rightChars="0"/>
                        <w:textAlignment w:val="auto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08835B66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/>
                        <w:ind w:left="0" w:leftChars="0" w:right="0" w:rightChars="0"/>
                        <w:textAlignment w:val="auto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0FC836E5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/>
                        <w:ind w:left="0" w:leftChars="0" w:right="0" w:rightChars="0"/>
                        <w:textAlignment w:val="auto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2957315D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/>
                        <w:ind w:left="0" w:leftChars="0" w:right="0" w:rightChars="0"/>
                        <w:textAlignment w:val="auto"/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Asset Universe</w:t>
                      </w:r>
                    </w:p>
                    <w:p w14:paraId="3068AE11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0" w:leftChars="0"/>
                        <w:textAlignment w:val="auto"/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1DF5DC22"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0" w:leftChars="0"/>
                        <w:textAlignment w:val="auto"/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sz w:val="22"/>
                          <w:szCs w:val="22"/>
                          <w:lang w:val="en-US" w:eastAsia="zh-CN"/>
                        </w:rPr>
                        <w:t>NVDA (AI infrastructure leader), INTC (legacy incumbent under transition), TSM (geopolitical/supply‑chain bellwether) and Nasdaq Composite (^IXIC) as the tech market benchmark.</w:t>
                      </w:r>
                    </w:p>
                  </w:txbxContent>
                </v:textbox>
              </v:shape>
            </w:pict>
          </mc:Fallback>
        </mc:AlternateContent>
      </w:r>
    </w:p>
    <w:p w14:paraId="3A43C6E6">
      <w:pPr>
        <w:bidi w:val="0"/>
        <w:rPr>
          <w:rFonts w:hint="eastAsia"/>
        </w:rPr>
      </w:pPr>
    </w:p>
    <w:p w14:paraId="1A925014">
      <w:pPr>
        <w:bidi w:val="0"/>
        <w:rPr>
          <w:rFonts w:hint="eastAsia"/>
        </w:rPr>
      </w:pPr>
    </w:p>
    <w:p w14:paraId="0E46C320">
      <w:pPr>
        <w:bidi w:val="0"/>
        <w:rPr>
          <w:rFonts w:hint="eastAsia"/>
        </w:rPr>
      </w:pPr>
    </w:p>
    <w:p w14:paraId="588E6DE8">
      <w:pPr>
        <w:bidi w:val="0"/>
        <w:rPr>
          <w:rFonts w:hint="eastAsia"/>
        </w:rPr>
      </w:pPr>
    </w:p>
    <w:p w14:paraId="44A7D79C">
      <w:pPr>
        <w:bidi w:val="0"/>
        <w:rPr>
          <w:rFonts w:hint="eastAsia"/>
        </w:rPr>
      </w:pPr>
    </w:p>
    <w:p w14:paraId="04EF430D">
      <w:pPr>
        <w:bidi w:val="0"/>
        <w:rPr>
          <w:rFonts w:hint="eastAsia"/>
        </w:rPr>
      </w:pPr>
    </w:p>
    <w:p w14:paraId="478C19BB">
      <w:pPr>
        <w:bidi w:val="0"/>
        <w:rPr>
          <w:rFonts w:hint="eastAsia"/>
        </w:rPr>
      </w:pPr>
    </w:p>
    <w:p w14:paraId="392C4231">
      <w:pPr>
        <w:bidi w:val="0"/>
        <w:rPr>
          <w:rFonts w:hint="eastAsia"/>
        </w:rPr>
      </w:pPr>
    </w:p>
    <w:p w14:paraId="78F4158A">
      <w:pPr>
        <w:bidi w:val="0"/>
        <w:rPr>
          <w:rFonts w:hint="eastAsia"/>
        </w:rPr>
      </w:pPr>
    </w:p>
    <w:p w14:paraId="54B9873D">
      <w:pPr>
        <w:bidi w:val="0"/>
        <w:rPr>
          <w:rFonts w:hint="eastAsia"/>
        </w:rPr>
      </w:pPr>
    </w:p>
    <w:p w14:paraId="1183377F">
      <w:pPr>
        <w:bidi w:val="0"/>
        <w:rPr>
          <w:rFonts w:hint="eastAsia"/>
        </w:rPr>
      </w:pPr>
    </w:p>
    <w:p w14:paraId="020D02F1">
      <w:pPr>
        <w:bidi w:val="0"/>
        <w:rPr>
          <w:rFonts w:hint="eastAsia"/>
        </w:rPr>
      </w:pPr>
    </w:p>
    <w:p w14:paraId="2F1986D6">
      <w:pPr>
        <w:bidi w:val="0"/>
        <w:rPr>
          <w:rFonts w:hint="eastAsia"/>
        </w:rPr>
      </w:pPr>
    </w:p>
    <w:p w14:paraId="196AE2CE">
      <w:pPr>
        <w:bidi w:val="0"/>
        <w:rPr>
          <w:rFonts w:hint="eastAsia"/>
        </w:rPr>
      </w:pPr>
    </w:p>
    <w:p w14:paraId="17EA8B7D">
      <w:pPr>
        <w:bidi w:val="0"/>
        <w:rPr>
          <w:rFonts w:hint="eastAsia"/>
        </w:rPr>
      </w:pPr>
    </w:p>
    <w:p w14:paraId="3B77C074">
      <w:pPr>
        <w:bidi w:val="0"/>
        <w:rPr>
          <w:rFonts w:hint="eastAsia"/>
        </w:rPr>
      </w:pPr>
    </w:p>
    <w:p w14:paraId="6275AD7B">
      <w:pPr>
        <w:bidi w:val="0"/>
        <w:rPr>
          <w:rFonts w:hint="eastAsia"/>
        </w:rPr>
      </w:pPr>
    </w:p>
    <w:p w14:paraId="487EF383">
      <w:pPr>
        <w:bidi w:val="0"/>
        <w:jc w:val="center"/>
        <w:rPr>
          <w:rFonts w:hint="eastAsia"/>
        </w:rPr>
      </w:pPr>
    </w:p>
    <w:p w14:paraId="718E63C2">
      <w:pPr>
        <w:bidi w:val="0"/>
        <w:jc w:val="left"/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4477385</wp:posOffset>
                </wp:positionH>
                <wp:positionV relativeFrom="paragraph">
                  <wp:posOffset>195580</wp:posOffset>
                </wp:positionV>
                <wp:extent cx="2007870" cy="172466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65395" y="6212205"/>
                          <a:ext cx="2007870" cy="172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0FC95">
                            <w:pPr>
                              <w:bidi w:val="0"/>
                              <w:jc w:val="both"/>
                              <w:rPr>
                                <w:rFonts w:hint="default" w:ascii="Times New Roman Regular" w:hAnsi="Times New Roman Regular" w:cs="Times New Roman Regular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18"/>
                                <w:szCs w:val="18"/>
                                <w:lang w:val="en-US"/>
                              </w:rPr>
                              <w:t xml:space="preserve">Figure 1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18"/>
                                <w:szCs w:val="18"/>
                              </w:rPr>
                              <w:t>Caption：</w:t>
                            </w:r>
                          </w:p>
                          <w:p w14:paraId="61FA44B7">
                            <w:pPr>
                              <w:bidi w:val="0"/>
                              <w:jc w:val="both"/>
                              <w:rPr>
                                <w:rFonts w:hint="default" w:ascii="Times New Roman Regular" w:hAnsi="Times New Roman Regular" w:cs="Times New Roman Regular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18"/>
                                <w:szCs w:val="18"/>
                              </w:rPr>
                              <w:t>Normalized performance highlights divergent regimes and asset‑specific behavior within the same sector, with ^IXIC serving as the systemic benchmark to separate market‑wide vs idiosyncratic risk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2.55pt;margin-top:15.4pt;height:135.8pt;width:158.1pt;z-index:251661312;mso-width-relative:page;mso-height-relative:page;" filled="f" stroked="f" coordsize="21600,21600" o:gfxdata="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WAAAAZHJzL1BLAQIUABQAAAAI&#10;AIdO4kAqY4GU2gAAAAsBAAAPAAAAAAAAAAEAIAAAADgAAABkcnMvZG93bnJldi54bWxQSwECFAAU&#10;AAAACACHTuJA0WIkd0sCAABzBAAADgAAAAAAAAABACAAAAA/AQAAZHJzL2Uyb0RvYy54bWxQSwUG&#10;AAAAAAYABgBZAQAA/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30FC95">
                      <w:pPr>
                        <w:bidi w:val="0"/>
                        <w:jc w:val="both"/>
                        <w:rPr>
                          <w:rFonts w:hint="default" w:ascii="Times New Roman Regular" w:hAnsi="Times New Roman Regular" w:cs="Times New Roman Regular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sz w:val="18"/>
                          <w:szCs w:val="18"/>
                          <w:lang w:val="en-US"/>
                        </w:rPr>
                        <w:t xml:space="preserve">Figure 1 </w:t>
                      </w:r>
                      <w:r>
                        <w:rPr>
                          <w:rFonts w:hint="default" w:ascii="Times New Roman Regular" w:hAnsi="Times New Roman Regular" w:cs="Times New Roman Regular"/>
                          <w:sz w:val="18"/>
                          <w:szCs w:val="18"/>
                        </w:rPr>
                        <w:t>Caption：</w:t>
                      </w:r>
                    </w:p>
                    <w:p w14:paraId="61FA44B7">
                      <w:pPr>
                        <w:bidi w:val="0"/>
                        <w:jc w:val="both"/>
                        <w:rPr>
                          <w:rFonts w:hint="default" w:ascii="Times New Roman Regular" w:hAnsi="Times New Roman Regular" w:cs="Times New Roman Regular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sz w:val="18"/>
                          <w:szCs w:val="18"/>
                        </w:rPr>
                        <w:t>Normalized performance highlights divergent regimes and asset‑specific behavior within the same sector, with ^IXIC serving as the systemic benchmark to separate market‑wide vs idiosyncratic risk</w:t>
                      </w:r>
                      <w:r>
                        <w:rPr>
                          <w:rFonts w:hint="default" w:ascii="Times New Roman Regular" w:hAnsi="Times New Roman Regular" w:cs="Times New Roman Regular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305" cy="1924050"/>
            <wp:effectExtent l="0" t="0" r="23495" b="6350"/>
            <wp:docPr id="3" name="图片 3" descr="normal_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normal_pric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130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B0DB">
      <w:pPr>
        <w:pStyle w:val="2"/>
        <w:bidi w:val="0"/>
        <w:ind w:firstLine="990" w:firstLineChars="550"/>
        <w:jc w:val="left"/>
        <w:rPr>
          <w:rFonts w:hint="default" w:ascii="Times New Roman Regular" w:hAnsi="Times New Roman Regular" w:cs="Times New Roman Regular"/>
          <w:sz w:val="18"/>
          <w:szCs w:val="18"/>
          <w:lang w:val="en-US"/>
        </w:rPr>
      </w:pPr>
      <w:r>
        <w:rPr>
          <w:rFonts w:hint="default" w:ascii="Times New Roman Regular" w:hAnsi="Times New Roman Regular" w:cs="Times New Roman Regular"/>
          <w:sz w:val="18"/>
          <w:szCs w:val="18"/>
          <w:lang w:val="en-US"/>
        </w:rPr>
        <w:t>Figure 1. Normalized Prices (Base = 100: 2018 - 2023)</w:t>
      </w:r>
    </w:p>
    <w:p w14:paraId="0D880EA7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205740</wp:posOffset>
                </wp:positionV>
                <wp:extent cx="2070735" cy="135382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6105" y="8415655"/>
                          <a:ext cx="2070735" cy="1353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79476">
                            <w:pPr>
                              <w:rPr>
                                <w:rFonts w:hint="default" w:ascii="Times New Roman Regular" w:hAnsi="Times New Roman Regular" w:cs="Times New Roman Regular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18"/>
                                <w:szCs w:val="18"/>
                                <w:lang w:val="en-US"/>
                              </w:rPr>
                              <w:t xml:space="preserve">Figure 2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18"/>
                                <w:szCs w:val="18"/>
                              </w:rPr>
                              <w:t>Caption：Histogram + density curves visually demonstrate leptokurtic (fat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sz w:val="18"/>
                                <w:szCs w:val="18"/>
                              </w:rPr>
                              <w:t>tailed) return behavior, motivating the switch from Gaussian risk assumptions to Student‑t modeling.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15pt;margin-top:16.2pt;height:106.6pt;width:163.05pt;z-index:251662336;mso-width-relative:page;mso-height-relative:page;" filled="f" stroked="f" coordsize="21600,21600" o:gfxdata="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FgAAAGRycy9QSwECFAAUAAAACACH&#10;TuJAter16dkAAAAIAQAADwAAAAAAAAABACAAAAA4AAAAZHJzL2Rvd25yZXYueG1sUEsBAhQAFAAA&#10;AAgAh07iQOX6LItKAgAAcgQAAA4AAAAAAAAAAQAgAAAAPgEAAGRycy9lMm9Eb2MueG1sUEsFBgAA&#10;AAAGAAYAWQEAAP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279476">
                      <w:pPr>
                        <w:rPr>
                          <w:rFonts w:hint="default" w:ascii="Times New Roman Regular" w:hAnsi="Times New Roman Regular" w:cs="Times New Roman Regular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sz w:val="18"/>
                          <w:szCs w:val="18"/>
                          <w:lang w:val="en-US"/>
                        </w:rPr>
                        <w:t xml:space="preserve">Figure 2 </w:t>
                      </w:r>
                      <w:r>
                        <w:rPr>
                          <w:rFonts w:hint="default" w:ascii="Times New Roman Regular" w:hAnsi="Times New Roman Regular" w:cs="Times New Roman Regular"/>
                          <w:sz w:val="18"/>
                          <w:szCs w:val="18"/>
                        </w:rPr>
                        <w:t>Caption：Histogram + density curves visually demonstrate leptokurtic (fat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 Regular" w:hAnsi="Times New Roman Regular" w:cs="Times New Roman Regular"/>
                          <w:sz w:val="18"/>
                          <w:szCs w:val="18"/>
                        </w:rPr>
                        <w:t>tailed) return behavior, motivating the switch from Gaussian risk assumptions to Student‑t modeling.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 w:eastAsia="zh-CN"/>
        </w:rPr>
        <w:t xml:space="preserve">                              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4013835" cy="1520190"/>
            <wp:effectExtent l="0" t="0" r="24765" b="3810"/>
            <wp:docPr id="5" name="图片 5" descr="fat_tail_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at_tail_facto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A69E">
      <w:pPr>
        <w:ind w:firstLine="4410" w:firstLineChars="2450"/>
        <w:rPr>
          <w:rFonts w:hint="default" w:ascii="Times New Roman Regular" w:hAnsi="Times New Roman Regular" w:cs="Times New Roman Regular"/>
          <w:sz w:val="18"/>
          <w:szCs w:val="18"/>
        </w:rPr>
      </w:pPr>
      <w:r>
        <w:rPr>
          <w:rFonts w:hint="default" w:ascii="Times New Roman Regular" w:hAnsi="Times New Roman Regular" w:cs="Times New Roman Regular"/>
          <w:sz w:val="18"/>
          <w:szCs w:val="18"/>
        </w:rPr>
        <w:t>Figure 2. Evidence of Fat Tails (NVDA vs INTC Return Distributions)</w:t>
      </w:r>
    </w:p>
    <w:p w14:paraId="352938D4">
      <w:pPr>
        <w:ind w:firstLine="4410" w:firstLineChars="2450"/>
        <w:rPr>
          <w:rFonts w:hint="default" w:ascii="Times New Roman Regular" w:hAnsi="Times New Roman Regular" w:cs="Times New Roman Regular"/>
          <w:sz w:val="18"/>
          <w:szCs w:val="18"/>
        </w:rPr>
      </w:pPr>
    </w:p>
    <w:p w14:paraId="60D5EF3C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Methodology, Model Diagnostics &amp; Actionable Recommendations (Data Analytics Focus)</w:t>
      </w:r>
    </w:p>
    <w:p w14:paraId="31DBFF4C">
      <w:pPr>
        <w:pStyle w:val="5"/>
        <w:bidi w:val="0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138430</wp:posOffset>
                </wp:positionH>
                <wp:positionV relativeFrom="paragraph">
                  <wp:posOffset>36830</wp:posOffset>
                </wp:positionV>
                <wp:extent cx="2961005" cy="58705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23900" y="1499870"/>
                          <a:ext cx="2961005" cy="587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4A76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  <w:t>Method</w:t>
                            </w:r>
                          </w:p>
                          <w:p w14:paraId="7BA1A64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Data Pipeline (Daily, 2018–2023)</w:t>
                            </w:r>
                          </w:p>
                          <w:p w14:paraId="202F6FE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Data source: daily close prices via yfinance for NVDA / INTC / TSM / ^IXIC. </w:t>
                            </w:r>
                          </w:p>
                          <w:p w14:paraId="5CD6E90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Quality check: missing values validated; clean time series used for modeling.</w:t>
                            </w:r>
                          </w:p>
                          <w:p w14:paraId="313FBEE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·Return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transformation: log returns for time‑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additivity and modeling suitability. </w:t>
                            </w:r>
                          </w:p>
                          <w:p w14:paraId="5994496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 w:line="300" w:lineRule="exact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Scaling: returns ×100 for numerical stability in GARCH maximum likelihood estimation</w:t>
                            </w:r>
                          </w:p>
                          <w:p w14:paraId="5206A2C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Why this window (2018–2023)?</w:t>
                            </w:r>
                          </w:p>
                          <w:p w14:paraId="495D85F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Chosen to capture a complete macro/tech “super‑cycle” including trade tensions (2018–2019), COVID shock and easing (2020–2021), aggressive tightening (2022), and the generative‑AI breakout (2023). </w:t>
                            </w:r>
                          </w:p>
                          <w:p w14:paraId="15F78B9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 w:line="300" w:lineRule="exact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Daily frequency yields 1,500 observations, improving robustness vs weekly/monthly alternatives.</w:t>
                            </w:r>
                          </w:p>
                          <w:p w14:paraId="572CA0A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Modeling Framework</w:t>
                            </w:r>
                          </w:p>
                          <w:p w14:paraId="7EAA58D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EDA --- confirm non‑normality (skewness, excess kurtosis)</w:t>
                            </w:r>
                          </w:p>
                          <w:p w14:paraId="0C2568A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Engle’s ARCH LM test --- verify volatility clustering </w:t>
                            </w:r>
                          </w:p>
                          <w:p w14:paraId="4D8F150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Fit GARCH(1,1): Normal vs Student‑t --- compare AIC </w:t>
                            </w:r>
                          </w:p>
                          <w:p w14:paraId="2D41D35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·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Diagnostics: standardized residuals and ACF of squared residuals (white‑noise check)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9pt;margin-top:2.9pt;height:462.25pt;width:233.15pt;z-index:251663360;mso-width-relative:page;mso-height-relative:page;" filled="f" stroked="f" coordsize="21600,21600" o:gfxdata="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FgAAAGRycy9QSwECFAAUAAAACACHTuJA&#10;1GPeZ9oAAAAIAQAADwAAAAAAAAABACAAAAA4AAAAZHJzL2Rvd25yZXYueG1sUEsBAhQAFAAAAAgA&#10;h07iQDe/O11GAgAAcgQAAA4AAAAAAAAAAQAgAAAAPwEAAGRycy9lMm9Eb2MueG1sUEsFBgAAAAAG&#10;AAYAWQEAAP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0D4A76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textAlignment w:val="auto"/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sz w:val="22"/>
                          <w:szCs w:val="22"/>
                          <w:lang w:val="en-US" w:eastAsia="zh-CN"/>
                        </w:rPr>
                        <w:t>Method</w:t>
                      </w:r>
                    </w:p>
                    <w:p w14:paraId="7BA1A64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sz w:val="21"/>
                          <w:szCs w:val="21"/>
                          <w:lang w:val="en-US" w:eastAsia="zh-CN"/>
                        </w:rPr>
                        <w:t>Data Pipeline (Daily, 2018–2023)</w:t>
                      </w:r>
                    </w:p>
                    <w:p w14:paraId="202F6FE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·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Data source: daily close prices via yfinance for NVDA / INTC / TSM / ^IXIC. </w:t>
                      </w:r>
                    </w:p>
                    <w:p w14:paraId="5CD6E90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·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Quality check: missing values validated; clean time series used for modeling.</w:t>
                      </w:r>
                    </w:p>
                    <w:p w14:paraId="313FBEE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·Return 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transformation: log returns for time‑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additivity and modeling suitability. </w:t>
                      </w:r>
                    </w:p>
                    <w:p w14:paraId="5994496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 w:line="300" w:lineRule="exact"/>
                        <w:textAlignment w:val="auto"/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·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Scaling: returns ×100 for numerical stability in GARCH maximum likelihood estimation</w:t>
                      </w:r>
                    </w:p>
                    <w:p w14:paraId="5206A2C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sz w:val="21"/>
                          <w:szCs w:val="21"/>
                          <w:lang w:val="en-US" w:eastAsia="zh-CN"/>
                        </w:rPr>
                        <w:t>Why this window (2018–2023)?</w:t>
                      </w:r>
                    </w:p>
                    <w:p w14:paraId="495D85F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Chosen to capture a complete macro/tech “super‑cycle” including trade tensions (2018–2019), COVID shock and easing (2020–2021), aggressive tightening (2022), and the generative‑AI breakout (2023). </w:t>
                      </w:r>
                    </w:p>
                    <w:p w14:paraId="15F78B9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 w:line="300" w:lineRule="exact"/>
                        <w:textAlignment w:val="auto"/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Daily frequency yields 1,500 observations, improving robustness vs weekly/monthly alternatives.</w:t>
                      </w:r>
                    </w:p>
                    <w:p w14:paraId="572CA0A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 w:val="0"/>
                          <w:sz w:val="21"/>
                          <w:szCs w:val="21"/>
                          <w:lang w:val="en-US" w:eastAsia="zh-CN"/>
                        </w:rPr>
                        <w:t>Modeling Framework</w:t>
                      </w:r>
                    </w:p>
                    <w:p w14:paraId="7EAA58D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·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EDA --- confirm non‑normality (skewness, excess kurtosis)</w:t>
                      </w:r>
                    </w:p>
                    <w:p w14:paraId="0C2568A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·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Engle’s ARCH LM test --- verify volatility clustering </w:t>
                      </w:r>
                    </w:p>
                    <w:p w14:paraId="4D8F150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·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Fit GARCH(1,1): Normal vs Student‑t --- compare AIC </w:t>
                      </w:r>
                    </w:p>
                    <w:p w14:paraId="2D41D35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·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Diagnostics: standardized residuals and ACF of squared residuals (white‑noise check)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36"/>
          <w:lang w:val="en-US" w:eastAsia="zh-CN"/>
        </w:rPr>
        <w:t xml:space="preserve">                             </w:t>
      </w:r>
      <w:r>
        <w:rPr>
          <w:sz w:val="36"/>
        </w:rPr>
        <w:drawing>
          <wp:inline distT="0" distB="0" distL="114300" distR="114300">
            <wp:extent cx="2761615" cy="1659255"/>
            <wp:effectExtent l="0" t="0" r="6985" b="17145"/>
            <wp:docPr id="8" name="图片 8" descr="NV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NVD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40D7">
      <w:pPr>
        <w:pStyle w:val="5"/>
        <w:bidi w:val="0"/>
        <w:rPr>
          <w:rStyle w:val="8"/>
          <w:rFonts w:hint="eastAsia"/>
          <w:b w:val="0"/>
          <w:bCs/>
          <w:lang w:val="en-US" w:eastAsia="zh-CN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3373755</wp:posOffset>
                </wp:positionH>
                <wp:positionV relativeFrom="paragraph">
                  <wp:posOffset>240030</wp:posOffset>
                </wp:positionV>
                <wp:extent cx="3165475" cy="8597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76980" y="3507740"/>
                          <a:ext cx="3165475" cy="859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576670">
                            <w:pPr>
                              <w:pStyle w:val="7"/>
                              <w:bidi w:val="0"/>
                              <w:jc w:val="both"/>
                              <w:rPr>
                                <w:i w:val="0"/>
                                <w:iCs/>
                                <w:color w:val="auto"/>
                              </w:rPr>
                            </w:pPr>
                            <w:r>
                              <w:rPr>
                                <w:rFonts w:hint="eastAsia"/>
                                <w:i w:val="0"/>
                                <w:iCs/>
                                <w:color w:val="auto"/>
                              </w:rPr>
                              <w:t>Caption：Conditional volatility (red line) reacts sharply to macro shocks and remains elevated, consistent with high persistence; standardized residual diagnostics support model adequacy.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5.65pt;margin-top:18.9pt;height:67.7pt;width:249.25pt;z-index:251665408;mso-width-relative:page;mso-height-relative:page;" filled="f" stroked="f" coordsize="21600,21600" o:gfxdata="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BYAAABkcnMvUEsBAhQAFAAAAAgAh07i&#10;QCRz+7rbAAAACwEAAA8AAAAAAAAAAQAgAAAAOAAAAGRycy9kb3ducmV2LnhtbFBLAQIUABQAAAAI&#10;AIdO4kD2lphXRgIAAHQEAAAOAAAAAAAAAAEAIAAAAEABAABkcnMvZTJvRG9jLnhtbFBLBQYAAAAA&#10;BgAGAFkBAAD4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A576670">
                      <w:pPr>
                        <w:pStyle w:val="7"/>
                        <w:bidi w:val="0"/>
                        <w:jc w:val="both"/>
                        <w:rPr>
                          <w:i w:val="0"/>
                          <w:iCs/>
                          <w:color w:val="auto"/>
                        </w:rPr>
                      </w:pPr>
                      <w:r>
                        <w:rPr>
                          <w:rFonts w:hint="eastAsia"/>
                          <w:i w:val="0"/>
                          <w:iCs/>
                          <w:color w:val="auto"/>
                        </w:rPr>
                        <w:t>Caption：Conditional volatility (red line) reacts sharply to macro shocks and remains elevated, consistent with high persistence; standardized residual diagnostics support model adequacy.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36"/>
          <w:lang w:val="en-US" w:eastAsia="zh-CN"/>
        </w:rPr>
        <w:t xml:space="preserve">                            </w:t>
      </w:r>
      <w:r>
        <w:rPr>
          <w:rStyle w:val="8"/>
          <w:rFonts w:hint="eastAsia"/>
          <w:lang w:val="en-US" w:eastAsia="zh-CN"/>
        </w:rPr>
        <w:t xml:space="preserve">   </w:t>
      </w:r>
      <w:r>
        <w:rPr>
          <w:rStyle w:val="8"/>
          <w:rFonts w:hint="eastAsia"/>
          <w:b w:val="0"/>
          <w:bCs/>
          <w:lang w:val="en-US" w:eastAsia="zh-CN"/>
        </w:rPr>
        <w:t>Figure 3. GARCH Diagnostics Dashboard（NVDA）</w:t>
      </w:r>
    </w:p>
    <w:p w14:paraId="319C975B">
      <w:pPr>
        <w:pStyle w:val="5"/>
        <w:bidi w:val="0"/>
        <w:rPr>
          <w:rStyle w:val="8"/>
          <w:rFonts w:hint="eastAsia"/>
          <w:b w:val="0"/>
          <w:bCs/>
          <w:lang w:val="en-US" w:eastAsia="zh-CN"/>
        </w:rPr>
      </w:pPr>
    </w:p>
    <w:p w14:paraId="664209A0">
      <w:pPr>
        <w:pStyle w:val="5"/>
        <w:bidi w:val="0"/>
        <w:rPr>
          <w:rStyle w:val="8"/>
          <w:rFonts w:hint="eastAsia"/>
          <w:b w:val="0"/>
          <w:bCs/>
          <w:lang w:val="en-US" w:eastAsia="zh-CN"/>
        </w:rPr>
      </w:pPr>
    </w:p>
    <w:p w14:paraId="20EFC0E6">
      <w:pPr>
        <w:pStyle w:val="5"/>
        <w:bidi w:val="0"/>
        <w:jc w:val="both"/>
        <w:rPr>
          <w:rStyle w:val="8"/>
          <w:rFonts w:hint="eastAsia"/>
          <w:b w:val="0"/>
          <w:bCs/>
          <w:lang w:val="en-US" w:eastAsia="zh-CN"/>
        </w:rPr>
      </w:pPr>
    </w:p>
    <w:p w14:paraId="016CDD2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 w:eastAsia="宋体"/>
          <w:sz w:val="36"/>
          <w:lang w:val="en-US" w:eastAsia="zh-CN"/>
        </w:rPr>
        <w:t xml:space="preserve">                       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2832100" cy="1376045"/>
            <wp:effectExtent l="0" t="0" r="12700" b="20955"/>
            <wp:docPr id="9" name="图片 9" descr="AIC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IC_resul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6DFF">
      <w:pPr>
        <w:pStyle w:val="7"/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</w:t>
      </w:r>
      <w:r>
        <w:rPr>
          <w:rFonts w:hint="default"/>
          <w:lang w:val="en-US" w:eastAsia="zh-CN"/>
        </w:rPr>
        <w:t xml:space="preserve">   Figure 4. Model Selection: Normal GARCH vs Student‑t GARCH (AIC Comparison)</w:t>
      </w:r>
    </w:p>
    <w:p w14:paraId="1A35E40F">
      <w:pPr>
        <w:pStyle w:val="7"/>
        <w:wordWrap w:val="0"/>
        <w:bidi w:val="0"/>
        <w:jc w:val="right"/>
        <w:rPr>
          <w:rFonts w:hint="default"/>
          <w:lang w:val="en-US" w:eastAsia="zh-CN"/>
        </w:rPr>
      </w:pPr>
      <w:bookmarkStart w:id="0" w:name="_GoBack"/>
      <w:bookmarkEnd w:id="0"/>
      <w:r>
        <w:rPr>
          <w:sz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3451860</wp:posOffset>
                </wp:positionH>
                <wp:positionV relativeFrom="paragraph">
                  <wp:posOffset>52705</wp:posOffset>
                </wp:positionV>
                <wp:extent cx="3067685" cy="81089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25875" y="6475095"/>
                          <a:ext cx="3067685" cy="810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9F50C">
                            <w:pPr>
                              <w:pStyle w:val="7"/>
                              <w:bidi w:val="0"/>
                              <w:jc w:val="both"/>
                              <w:rPr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hint="default"/>
                                <w:i w:val="0"/>
                                <w:iCs/>
                                <w:lang w:val="en-US"/>
                              </w:rPr>
                              <w:t xml:space="preserve">Caption : </w:t>
                            </w:r>
                            <w:r>
                              <w:rPr>
                                <w:rFonts w:hint="eastAsia"/>
                                <w:i w:val="0"/>
                                <w:iCs/>
                              </w:rPr>
                              <w:t>Student‑t specifications outperform Normal GARCH across the portfolio, empirically justifying fat</w:t>
                            </w:r>
                            <w:r>
                              <w:rPr>
                                <w:rFonts w:hint="eastAsia" w:eastAsia="宋体"/>
                                <w:i w:val="0"/>
                                <w:i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i w:val="0"/>
                                <w:iCs/>
                              </w:rPr>
                              <w:t>tailed risk assumptions under AI‑cycle volatility regimes.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8pt;margin-top:4.15pt;height:63.85pt;width:241.55pt;z-index:251664384;mso-width-relative:page;mso-height-relative:page;" filled="f" stroked="f" coordsize="21600,21600" o:gfxdata="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WAAAAZHJzL1BLAQIUABQAAAAIAIdO&#10;4kB1UC8J2wAAAAoBAAAPAAAAAAAAAAEAIAAAADgAAABkcnMvZG93bnJldi54bWxQSwECFAAUAAAA&#10;CACHTuJAwCer6kcCAAB0BAAADgAAAAAAAAABACAAAABAAQAAZHJzL2Uyb0RvYy54bWxQSwUGAAAA&#10;AAYABgBZAQAA+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B9F50C">
                      <w:pPr>
                        <w:pStyle w:val="7"/>
                        <w:bidi w:val="0"/>
                        <w:jc w:val="both"/>
                        <w:rPr>
                          <w:i w:val="0"/>
                          <w:iCs/>
                        </w:rPr>
                      </w:pPr>
                      <w:r>
                        <w:rPr>
                          <w:rFonts w:hint="default"/>
                          <w:i w:val="0"/>
                          <w:iCs/>
                          <w:lang w:val="en-US"/>
                        </w:rPr>
                        <w:t xml:space="preserve">Caption : </w:t>
                      </w:r>
                      <w:r>
                        <w:rPr>
                          <w:rFonts w:hint="eastAsia"/>
                          <w:i w:val="0"/>
                          <w:iCs/>
                        </w:rPr>
                        <w:t>Student‑t specifications outperform Normal GARCH across the portfolio, empirically justifying fat</w:t>
                      </w:r>
                      <w:r>
                        <w:rPr>
                          <w:rFonts w:hint="eastAsia" w:eastAsia="宋体"/>
                          <w:i w:val="0"/>
                          <w:i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i w:val="0"/>
                          <w:iCs/>
                        </w:rPr>
                        <w:t>tailed risk assumptions under AI‑cycle volatility regimes.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 w:eastAsia="zh-CN"/>
        </w:rPr>
        <w:t xml:space="preserve">                                                     </w:t>
      </w:r>
    </w:p>
    <w:p w14:paraId="0AE7132B">
      <w:pPr>
        <w:bidi w:val="0"/>
        <w:rPr>
          <w:rFonts w:hint="default"/>
          <w:lang w:val="en-US" w:eastAsia="zh-CN"/>
        </w:rPr>
      </w:pPr>
    </w:p>
    <w:p w14:paraId="69AE4545">
      <w:pPr>
        <w:bidi w:val="0"/>
        <w:rPr>
          <w:rFonts w:hint="default"/>
          <w:lang w:val="en-US" w:eastAsia="zh-CN"/>
        </w:rPr>
      </w:pPr>
    </w:p>
    <w:p w14:paraId="5F3CB574">
      <w:pPr>
        <w:bidi w:val="0"/>
        <w:rPr>
          <w:rFonts w:hint="default"/>
          <w:lang w:val="en-US" w:eastAsia="zh-CN"/>
        </w:rPr>
      </w:pPr>
    </w:p>
    <w:p w14:paraId="5BAAEBEF">
      <w:pPr>
        <w:bidi w:val="0"/>
        <w:rPr>
          <w:rFonts w:hint="default"/>
          <w:lang w:val="en-US" w:eastAsia="zh-CN"/>
        </w:rPr>
      </w:pPr>
    </w:p>
    <w:p w14:paraId="5D047FF1">
      <w:pPr>
        <w:tabs>
          <w:tab w:val="left" w:pos="4513"/>
        </w:tabs>
        <w:bidi w:val="0"/>
        <w:jc w:val="center"/>
        <w:rPr>
          <w:rStyle w:val="9"/>
          <w:rFonts w:hint="default"/>
          <w:lang w:val="en-US" w:eastAsia="zh-CN"/>
        </w:rPr>
      </w:pPr>
      <w:r>
        <w:rPr>
          <w:rStyle w:val="9"/>
          <w:rFonts w:hint="default"/>
          <w:lang w:val="en-US" w:eastAsia="zh-CN"/>
        </w:rPr>
        <w:t>Actionable Recommendations</w:t>
      </w:r>
    </w:p>
    <w:p w14:paraId="1B794A26">
      <w:pPr>
        <w:tabs>
          <w:tab w:val="left" w:pos="4513"/>
        </w:tabs>
        <w:bidi w:val="0"/>
        <w:jc w:val="center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4476750</wp:posOffset>
                </wp:positionH>
                <wp:positionV relativeFrom="paragraph">
                  <wp:posOffset>182245</wp:posOffset>
                </wp:positionV>
                <wp:extent cx="1870710" cy="222186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05070" y="8128000"/>
                          <a:ext cx="1870710" cy="2221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D064A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Portfolio construction implication</w:t>
                            </w:r>
                          </w:p>
                          <w:p w14:paraId="2CACB8A6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45DBC1C9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High idiosyncratic volatility in NVDA‑type assets requires stronger counter‑balancing with lower‑beta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or</w:t>
                            </w:r>
                            <w:r>
                              <w:rPr>
                                <w:rFonts w:hint="eastAsia"/>
                              </w:rPr>
                              <w:t xml:space="preserve"> defensive exposures to stabilize drawdowns during tech sell‑offs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2.5pt;margin-top:14.35pt;height:174.95pt;width:147.3pt;z-index:251671552;mso-width-relative:page;mso-height-relative:page;" filled="f" stroked="f" coordsize="21600,21600" o:gfxdata="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FgAAAGRycy9QSwECFAAUAAAACACH&#10;TuJAphPn09sAAAAKAQAADwAAAAAAAAABACAAAAA4AAAAZHJzL2Rvd25yZXYueG1sUEsBAhQAFAAA&#10;AAgAh07iQJFybqVIAgAAdQQAAA4AAAAAAAAAAQAgAAAAQAEAAGRycy9lMm9Eb2MueG1sUEsFBgAA&#10;AAAGAAYAWQEAAP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6CD064A">
                      <w:pPr>
                        <w:jc w:val="left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Portfolio construction implication</w:t>
                      </w:r>
                    </w:p>
                    <w:p w14:paraId="2CACB8A6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14:paraId="45DBC1C9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High idiosyncratic volatility in NVDA‑type assets requires stronger counter‑balancing with lower‑beta </w:t>
                      </w:r>
                      <w:r>
                        <w:rPr>
                          <w:rFonts w:hint="default"/>
                          <w:lang w:val="en-US"/>
                        </w:rPr>
                        <w:t>or</w:t>
                      </w:r>
                      <w:r>
                        <w:rPr>
                          <w:rFonts w:hint="eastAsia"/>
                        </w:rPr>
                        <w:t xml:space="preserve"> defensive exposures to stabilize drawdowns during tech sell‑offs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4327525</wp:posOffset>
                </wp:positionH>
                <wp:positionV relativeFrom="paragraph">
                  <wp:posOffset>159385</wp:posOffset>
                </wp:positionV>
                <wp:extent cx="2097405" cy="2073275"/>
                <wp:effectExtent l="6350" t="6350" r="29845" b="28575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7405" cy="2073275"/>
                        </a:xfrm>
                        <a:prstGeom prst="roundRect">
                          <a:avLst/>
                        </a:prstGeom>
                        <a:ln w="12700" cap="flat" cmpd="sng" algn="ctr">
                          <a:solidFill>
                            <a:schemeClr val="accent5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0.75pt;margin-top:12.55pt;height:163.25pt;width:165.15pt;z-index:251668480;v-text-anchor:middle;mso-width-relative:page;mso-height-relative:page;" filled="f" stroked="t" coordsize="21600,21600" arcsize="0.166666666666667" o:gfxdata="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BYAAABkcnMvUEsBAhQAFAAAAAgAh07i&#10;QD+Xpt/ZAAAACwEAAA8AAAAAAAAAAQAgAAAAOAAAAGRycy9kb3ducmV2LnhtbFBLAQIUABQAAAAI&#10;AIdO4kC8O+AhgQIAANgEAAAOAAAAAAAAAAEAIAAAAD4BAABkcnMvZTJvRG9jLnhtbFBLBQYAAAAA&#10;BgAGAFkBAAAxBgAAAAA=&#10;">
                <v:fill on="f" focussize="0,0"/>
                <v:stroke weight="1pt" color="#30C0B4 [3208]" miterlimit="8" joinstyle="miter" dashstyle="dash"/>
                <v:imagedata o:title=""/>
                <o:lock v:ext="edit" aspectratio="f"/>
              </v:round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2291715</wp:posOffset>
                </wp:positionH>
                <wp:positionV relativeFrom="paragraph">
                  <wp:posOffset>177165</wp:posOffset>
                </wp:positionV>
                <wp:extent cx="1837055" cy="238061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055" cy="2380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4494F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Hedge with duration matched to persistence</w:t>
                            </w:r>
                          </w:p>
                          <w:p w14:paraId="0ECAFB96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Because volatility persistence is very high (α+β approaching 1), risk spikes do not fade quickly. Use long‑dated hedges  rather than short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term protection when regimes shift.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.45pt;margin-top:13.95pt;height:187.45pt;width:144.65pt;z-index:251670528;mso-width-relative:page;mso-height-relative:page;" filled="f" stroked="f" coordsize="21600,21600" o:gfxdata="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BYAAABkcnMvUEsBAhQAFAAAAAgAh07iQGRr0zbbAAAA&#10;CgEAAA8AAAAAAAAAAQAgAAAAOAAAAGRycy9kb3ducmV2LnhtbFBLAQIUABQAAAAIAIdO4kCLXFAv&#10;PQIAAGkEAAAOAAAAAAAAAAEAIAAAAEABAABkcnMvZTJvRG9jLnhtbFBLBQYAAAAABgAGAFkBAADv&#10;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C4494F">
                      <w:pPr>
                        <w:jc w:val="left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Hedge with duration matched to persistence</w:t>
                      </w:r>
                    </w:p>
                    <w:p w14:paraId="0ECAFB96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Because volatility persistence is very high (α+β approaching 1), risk spikes do not fade quickly. Use long‑dated hedges  rather than short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term protection when regimes shift.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165735</wp:posOffset>
                </wp:positionV>
                <wp:extent cx="2097405" cy="2097405"/>
                <wp:effectExtent l="6350" t="6350" r="29845" b="2984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7405" cy="2097405"/>
                        </a:xfrm>
                        <a:prstGeom prst="roundRect">
                          <a:avLst/>
                        </a:prstGeom>
                        <a:ln w="12700" cap="flat" cmpd="sng" algn="ctr">
                          <a:solidFill>
                            <a:schemeClr val="accent5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68pt;margin-top:13.05pt;height:165.15pt;width:165.15pt;z-index:251667456;v-text-anchor:middle;mso-width-relative:page;mso-height-relative:page;" filled="f" stroked="t" coordsize="21600,21600" arcsize="0.166666666666667" o:gfxdata="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FgAAAGRycy9QSwECFAAUAAAACACHTuJAk0HY&#10;P9kAAAAKAQAADwAAAAAAAAABACAAAAA4AAAAZHJzL2Rvd25yZXYueG1sUEsBAhQAFAAAAAgAh07i&#10;QAt1Vnl9AgAA2AQAAA4AAAAAAAAAAQAgAAAAPgEAAGRycy9lMm9Eb2MueG1sUEsFBgAAAAAGAAYA&#10;WQEAAC0GAAAAAA==&#10;">
                <v:fill on="f" focussize="0,0"/>
                <v:stroke weight="1pt" color="#30C0B4 [3208]" miterlimit="8" joinstyle="miter" dashstyle="dash"/>
                <v:imagedata o:title=""/>
                <o:lock v:ext="edit" aspectratio="f"/>
              </v:round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171450</wp:posOffset>
                </wp:positionV>
                <wp:extent cx="1837055" cy="184721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0240" y="8150860"/>
                          <a:ext cx="1837055" cy="1847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085CF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Upgrade risk metrics</w:t>
                            </w:r>
                          </w:p>
                          <w:p w14:paraId="3FEC043C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</w:p>
                          <w:p w14:paraId="40F22825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significant fat tails, replace Gaussian VaR with Student‑t Expected Shortfall (CVaR) for downside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risk governance in AI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cycle assets.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pt;margin-top:13.5pt;height:145.45pt;width:144.65pt;z-index:251669504;mso-width-relative:page;mso-height-relative:page;" filled="f" stroked="f" coordsize="21600,21600" o:gfxdata="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FgAAAGRycy9QSwECFAAUAAAACACHTuJA&#10;OObD09kAAAAJAQAADwAAAAAAAAABACAAAAA4AAAAZHJzL2Rvd25yZXYueG1sUEsBAhQAFAAAAAgA&#10;h07iQAhkRBBHAgAAdAQAAA4AAAAAAAAAAQAgAAAAPgEAAGRycy9lMm9Eb2MueG1sUEsFBgAAAAAG&#10;AAYAWQEAAP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F3085CF">
                      <w:pPr>
                        <w:jc w:val="left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Upgrade risk metrics</w:t>
                      </w:r>
                    </w:p>
                    <w:p w14:paraId="3FEC043C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14:paraId="40F22825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significant fat tails, replace Gaussian VaR with Student‑t Expected Shortfall (CVaR) for downside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risk governance in AI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cycle assets.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171450</wp:posOffset>
                </wp:positionV>
                <wp:extent cx="2097405" cy="2062480"/>
                <wp:effectExtent l="6350" t="6350" r="29845" b="1397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6765" y="8309610"/>
                          <a:ext cx="2097405" cy="2062480"/>
                        </a:xfrm>
                        <a:prstGeom prst="roundRect">
                          <a:avLst/>
                        </a:prstGeom>
                        <a:ln w="12700" cap="flat" cmpd="sng" algn="ctr">
                          <a:solidFill>
                            <a:schemeClr val="accent5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2.9pt;margin-top:13.5pt;height:162.4pt;width:165.15pt;z-index:251666432;v-text-anchor:middle;mso-width-relative:page;mso-height-relative:page;" filled="f" stroked="t" coordsize="21600,21600" arcsize="0.166666666666667" o:gfxdata="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WAAAAZHJzL1BLAQIU&#10;ABQAAAAIAIdO4kCmGXxx2QAAAAkBAAAPAAAAAAAAAAEAIAAAADgAAABkcnMvZG93bnJldi54bWxQ&#10;SwECFAAUAAAACACHTuJAa6/r2YsCAADjBAAADgAAAAAAAAABACAAAAA+AQAAZHJzL2Uyb0RvYy54&#10;bWxQSwUGAAAAAAYABgBZAQAAOwYAAAAA&#10;">
                <v:fill on="f" focussize="0,0"/>
                <v:stroke weight="1pt" color="#30C0B4 [3208]" miterlimit="8" joinstyle="miter" dashstyle="dash"/>
                <v:imagedata o:title=""/>
                <o:lock v:ext="edit" aspectratio="f"/>
              </v:roundrect>
            </w:pict>
          </mc:Fallback>
        </mc:AlternateContent>
      </w:r>
    </w:p>
    <w:p w14:paraId="22297F30">
      <w:pPr>
        <w:tabs>
          <w:tab w:val="left" w:pos="1121"/>
        </w:tabs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850" w:right="850" w:bottom="850" w:left="85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FF088"/>
    <w:rsid w:val="7F7E3A15"/>
    <w:rsid w:val="FABACD08"/>
    <w:rsid w:val="FFEFF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customStyle="1" w:styleId="5">
    <w:name w:val="报告标题"/>
    <w:basedOn w:val="1"/>
    <w:link w:val="9"/>
    <w:uiPriority w:val="0"/>
    <w:pPr>
      <w:spacing w:before="120" w:after="120" w:line="240" w:lineRule="auto"/>
      <w:jc w:val="center"/>
    </w:pPr>
    <w:rPr>
      <w:rFonts w:hint="default" w:asciiTheme="minorAscii" w:hAnsiTheme="minorAscii" w:eastAsiaTheme="majorAscii"/>
      <w:b/>
      <w:sz w:val="36"/>
    </w:rPr>
  </w:style>
  <w:style w:type="paragraph" w:customStyle="1" w:styleId="6">
    <w:name w:val="正文（西）"/>
    <w:basedOn w:val="1"/>
    <w:uiPriority w:val="0"/>
    <w:pPr>
      <w:spacing w:line="360" w:lineRule="exact"/>
      <w:ind w:left="420" w:leftChars="300"/>
      <w:jc w:val="both"/>
    </w:pPr>
    <w:rPr>
      <w:rFonts w:hint="default" w:asciiTheme="minorAscii" w:hAnsiTheme="minorAscii" w:eastAsiaTheme="minorEastAsia"/>
      <w:sz w:val="22"/>
    </w:rPr>
  </w:style>
  <w:style w:type="paragraph" w:customStyle="1" w:styleId="7">
    <w:name w:val="图注（西）"/>
    <w:basedOn w:val="1"/>
    <w:link w:val="8"/>
    <w:uiPriority w:val="0"/>
    <w:pPr>
      <w:spacing w:line="240" w:lineRule="auto"/>
      <w:jc w:val="center"/>
    </w:pPr>
    <w:rPr>
      <w:rFonts w:hint="default" w:asciiTheme="minorAscii" w:hAnsiTheme="minorAscii" w:eastAsiaTheme="minorAscii"/>
      <w:i/>
      <w:sz w:val="18"/>
    </w:rPr>
  </w:style>
  <w:style w:type="character" w:customStyle="1" w:styleId="8">
    <w:name w:val="图注（西） Char"/>
    <w:link w:val="7"/>
    <w:uiPriority w:val="0"/>
    <w:rPr>
      <w:rFonts w:hint="default" w:asciiTheme="minorAscii" w:hAnsiTheme="minorAscii" w:eastAsiaTheme="minorAscii"/>
      <w:i/>
      <w:sz w:val="18"/>
    </w:rPr>
  </w:style>
  <w:style w:type="character" w:customStyle="1" w:styleId="9">
    <w:name w:val="报告标题 Char"/>
    <w:link w:val="5"/>
    <w:uiPriority w:val="0"/>
    <w:rPr>
      <w:rFonts w:hint="default" w:asciiTheme="minorAscii" w:hAnsiTheme="minorAscii" w:eastAsiaTheme="majorAscii"/>
      <w:b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53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2026-04-14T15:21:00Z</dcterms:created>
  <dc:creator>雾里北溪似清凉〞㏑</dc:creator>
  <cp:lastModifiedBy>雾里北溪似清凉〞㏑</cp:lastModifiedBy>
  <dcterms:modified xsi:type="dcterms:W3CDTF">2026-04-15T11:22:48Z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C3447142AAAFDA273131DE69C823546B_41</vt:lpwstr>
  </property>
</Properties>
</file>