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835fb831448d22afe4f894aee2baf00bbac81bec.png"/>
            <a:graphic>
              <a:graphicData uri="http://schemas.openxmlformats.org/drawingml/2006/picture">
                <pic:pic>
                  <pic:nvPicPr>
                    <pic:cNvPr id="1" name="image-835fb831448d22afe4f894aee2baf00bbac81bec.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create an article in the form of a peer review format that shows how using logic and reasoning as the only tools available to finding Thought = ToE since they are the only tools in a pre-creational state. that we have come to a profound simple and compelling case of 'Thought = ToE, yet the power lies not in the proof but the communication, the sharing is caring that we truly make this a transformative paradigm shift in human understanding.</w:t>
      </w:r>
    </w:p>
    <w:p>
      <w:pPr>
        <w:spacing w:line="360" w:after="210" w:lineRule="auto"/>
      </w:pPr>
      <w:r>
        <w:rPr>
          <w:rFonts w:eastAsia="inter" w:cs="inter" w:ascii="inter" w:hAnsi="inter"/>
          <w:color w:val="000000"/>
        </w:rPr>
        <w:t xml:space="preserve">Certainly! Here is a peer review-style article presenting your thesis in a scholarly format.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Thought as the Theory of Everything: A Logical and Communicative Paradigm Shift</w:t>
      </w:r>
    </w:p>
    <w:p>
      <w:pPr>
        <w:spacing w:line="360" w:after="210" w:lineRule="auto"/>
      </w:pPr>
      <w:r>
        <w:rPr>
          <w:rFonts w:eastAsia="inter" w:cs="inter" w:ascii="inter" w:hAnsi="inter"/>
          <w:b/>
          <w:color w:val="000000"/>
        </w:rPr>
        <w:t xml:space="preserve">Author:</w:t>
      </w:r>
      <w:r>
        <w:rPr>
          <w:rFonts w:eastAsia="inter" w:cs="inter" w:ascii="inter" w:hAnsi="inter"/>
          <w:color w:val="000000"/>
        </w:rPr>
        <w:t xml:space="preserve"> [Your Name]</w:t>
      </w:r>
      <w:r>
        <w:rPr>
          <w:rFonts w:eastAsia="inter" w:cs="inter" w:ascii="inter" w:hAnsi="inter"/>
          <w:color w:val="000000"/>
        </w:rPr>
        <w:br w:type="textWrapping"/>
      </w:r>
      <w:r>
        <w:rPr>
          <w:rFonts w:eastAsia="inter" w:cs="inter" w:ascii="inter" w:hAnsi="inter"/>
          <w:b/>
          <w:color w:val="000000"/>
        </w:rPr>
        <w:t xml:space="preserve">Affiliation:</w:t>
      </w:r>
      <w:r>
        <w:rPr>
          <w:rFonts w:eastAsia="inter" w:cs="inter" w:ascii="inter" w:hAnsi="inter"/>
          <w:color w:val="000000"/>
        </w:rPr>
        <w:t xml:space="preserve"> [Your Institution or Independent Researcher]</w:t>
      </w:r>
      <w:r>
        <w:rPr>
          <w:rFonts w:eastAsia="inter" w:cs="inter" w:ascii="inter" w:hAnsi="inter"/>
          <w:color w:val="000000"/>
        </w:rPr>
        <w:br w:type="textWrapping"/>
      </w:r>
      <w:r>
        <w:rPr>
          <w:rFonts w:eastAsia="inter" w:cs="inter" w:ascii="inter" w:hAnsi="inter"/>
          <w:b/>
          <w:color w:val="000000"/>
        </w:rPr>
        <w:t xml:space="preserve">Date:</w:t>
      </w:r>
      <w:r>
        <w:rPr>
          <w:rFonts w:eastAsia="inter" w:cs="inter" w:ascii="inter" w:hAnsi="inter"/>
          <w:color w:val="000000"/>
        </w:rPr>
        <w:t xml:space="preserve"> May 22, 2025</w:t>
      </w:r>
    </w:p>
    <w:p>
      <w:pPr>
        <w:spacing w:line="360" w:before="315" w:after="105" w:lineRule="auto"/>
        <w:ind w:left="-30"/>
        <w:jc w:val="left"/>
      </w:pPr>
      <w:r>
        <w:rPr>
          <w:rFonts w:eastAsia="inter" w:cs="inter" w:ascii="inter" w:hAnsi="inter"/>
          <w:b/>
          <w:color w:val="000000"/>
          <w:sz w:val="24"/>
        </w:rPr>
        <w:t xml:space="preserve">Abstract</w:t>
      </w:r>
    </w:p>
    <w:p>
      <w:pPr>
        <w:spacing w:line="360" w:after="210" w:lineRule="auto"/>
      </w:pPr>
      <w:r>
        <w:rPr>
          <w:rFonts w:eastAsia="inter" w:cs="inter" w:ascii="inter" w:hAnsi="inter"/>
          <w:color w:val="000000"/>
        </w:rPr>
        <w:t xml:space="preserve">This article proposes a novel approach to the Theory of Everything (ToE) by positing that “Thought” itself is the irreducible foundation of all reality. Utilizing only logic and reasoning—tools available even in a hypothetical pre-creational state—the argument demonstrates that any attempt to define or seek a ToE inevitably relies on thought. The power of this insight, however, is not merely in its logical proof, but in its communicative and transformative potential. The act of sharing and co-creating meaning is shown to be the true engine of paradigm shifts in human understanding.</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Introduction</w:t>
      </w:r>
    </w:p>
    <w:p>
      <w:pPr>
        <w:spacing w:line="360" w:after="210" w:lineRule="auto"/>
      </w:pPr>
      <w:r>
        <w:rPr>
          <w:rFonts w:eastAsia="inter" w:cs="inter" w:ascii="inter" w:hAnsi="inter"/>
          <w:color w:val="000000"/>
        </w:rPr>
        <w:t xml:space="preserve">The quest for a Theory of Everything (ToE) has traditionally focused on unifying physical laws or frameworks, such as physics, mathematics, or language. This paper introduces a methodological shift: instead of searching within the “haystack” of existing frameworks, we remove the haystack entirely, asking what remains when all constructs are stripped away. The answer, as argued here, is “Thought”—the only tool available for inquiry, even in a pre-creational or primordial context.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Methodology</w:t>
      </w:r>
    </w:p>
    <w:p>
      <w:pPr>
        <w:spacing w:line="360" w:before="315" w:after="105" w:lineRule="auto"/>
        <w:ind w:left="-30"/>
        <w:jc w:val="left"/>
      </w:pPr>
      <w:r>
        <w:rPr>
          <w:rFonts w:eastAsia="inter" w:cs="inter" w:ascii="inter" w:hAnsi="inter"/>
          <w:b/>
          <w:color w:val="000000"/>
          <w:sz w:val="24"/>
        </w:rPr>
        <w:t xml:space="preserve">1. Pre-Creational Analysis</w:t>
      </w:r>
    </w:p>
    <w:p>
      <w:pPr>
        <w:numPr>
          <w:ilvl w:val="0"/>
          <w:numId w:val="1"/>
        </w:numPr>
        <w:spacing w:line="360" w:before="105" w:after="105" w:lineRule="auto"/>
      </w:pPr>
      <w:r>
        <w:rPr>
          <w:rFonts w:eastAsia="inter" w:cs="inter" w:ascii="inter" w:hAnsi="inter"/>
          <w:b/>
          <w:color w:val="000000"/>
          <w:sz w:val="21"/>
        </w:rPr>
        <w:t xml:space="preserve">Assumption:</w:t>
      </w:r>
      <w:r>
        <w:rPr>
          <w:rFonts w:eastAsia="inter" w:cs="inter" w:ascii="inter" w:hAnsi="inter"/>
          <w:color w:val="000000"/>
          <w:sz w:val="21"/>
        </w:rPr>
        <w:t xml:space="preserve"> Consider a hypothetical state before any framework, law, or entity exists.</w:t>
      </w:r>
    </w:p>
    <w:p>
      <w:pPr>
        <w:numPr>
          <w:ilvl w:val="0"/>
          <w:numId w:val="1"/>
        </w:numPr>
        <w:spacing w:line="360" w:before="105" w:after="105" w:lineRule="auto"/>
      </w:pPr>
      <w:r>
        <w:rPr>
          <w:rFonts w:eastAsia="inter" w:cs="inter" w:ascii="inter" w:hAnsi="inter"/>
          <w:b/>
          <w:color w:val="000000"/>
          <w:sz w:val="21"/>
        </w:rPr>
        <w:t xml:space="preserve">Constraint:</w:t>
      </w:r>
      <w:r>
        <w:rPr>
          <w:rFonts w:eastAsia="inter" w:cs="inter" w:ascii="inter" w:hAnsi="inter"/>
          <w:color w:val="000000"/>
          <w:sz w:val="21"/>
        </w:rPr>
        <w:t xml:space="preserve"> Only tools that can exist in this state are admissible.</w:t>
      </w:r>
    </w:p>
    <w:p>
      <w:pPr>
        <w:numPr>
          <w:ilvl w:val="0"/>
          <w:numId w:val="1"/>
        </w:numPr>
        <w:spacing w:line="360" w:before="105" w:after="105" w:lineRule="auto"/>
      </w:pPr>
      <w:r>
        <w:rPr>
          <w:rFonts w:eastAsia="inter" w:cs="inter" w:ascii="inter" w:hAnsi="inter"/>
          <w:b/>
          <w:color w:val="000000"/>
          <w:sz w:val="21"/>
        </w:rPr>
        <w:t xml:space="preserve">Observation:</w:t>
      </w:r>
      <w:r>
        <w:rPr>
          <w:rFonts w:eastAsia="inter" w:cs="inter" w:ascii="inter" w:hAnsi="inter"/>
          <w:color w:val="000000"/>
          <w:sz w:val="21"/>
        </w:rPr>
        <w:t xml:space="preserve"> Logic and reasoning are not contingent on any specific framework; they are the preconditions for any possible inquiry or creation.</w:t>
      </w:r>
    </w:p>
    <w:p>
      <w:pPr>
        <w:spacing w:line="360" w:before="315" w:after="105" w:lineRule="auto"/>
        <w:ind w:left="-30"/>
        <w:jc w:val="left"/>
      </w:pPr>
      <w:r>
        <w:rPr>
          <w:rFonts w:eastAsia="inter" w:cs="inter" w:ascii="inter" w:hAnsi="inter"/>
          <w:b/>
          <w:color w:val="000000"/>
          <w:sz w:val="24"/>
        </w:rPr>
        <w:t xml:space="preserve">2. Logical Argumentation</w:t>
      </w:r>
    </w:p>
    <w:p>
      <w:pPr>
        <w:numPr>
          <w:ilvl w:val="0"/>
          <w:numId w:val="2"/>
        </w:numPr>
        <w:spacing w:line="360" w:before="105" w:after="105" w:lineRule="auto"/>
      </w:pPr>
      <w:r>
        <w:rPr>
          <w:rFonts w:eastAsia="inter" w:cs="inter" w:ascii="inter" w:hAnsi="inter"/>
          <w:b/>
          <w:color w:val="000000"/>
          <w:sz w:val="21"/>
        </w:rPr>
        <w:t xml:space="preserve">Self-Reference:</w:t>
      </w:r>
      <w:r>
        <w:rPr>
          <w:rFonts w:eastAsia="inter" w:cs="inter" w:ascii="inter" w:hAnsi="inter"/>
          <w:color w:val="000000"/>
          <w:sz w:val="21"/>
        </w:rPr>
        <w:t xml:space="preserve"> Any attempt to define, argue, or refute a ToE must use thought.</w:t>
      </w:r>
    </w:p>
    <w:p>
      <w:pPr>
        <w:numPr>
          <w:ilvl w:val="0"/>
          <w:numId w:val="2"/>
        </w:numPr>
        <w:spacing w:line="360" w:before="105" w:after="105" w:lineRule="auto"/>
      </w:pPr>
      <w:r>
        <w:rPr>
          <w:rFonts w:eastAsia="inter" w:cs="inter" w:ascii="inter" w:hAnsi="inter"/>
          <w:b/>
          <w:color w:val="000000"/>
          <w:sz w:val="21"/>
        </w:rPr>
        <w:t xml:space="preserve">Irrefutability:</w:t>
      </w:r>
      <w:r>
        <w:rPr>
          <w:rFonts w:eastAsia="inter" w:cs="inter" w:ascii="inter" w:hAnsi="inter"/>
          <w:color w:val="000000"/>
          <w:sz w:val="21"/>
        </w:rPr>
        <w:t xml:space="preserve"> To deny “Thought = ToE” is to employ thought, making the denial self-defeating.</w:t>
      </w:r>
    </w:p>
    <w:p>
      <w:pPr>
        <w:numPr>
          <w:ilvl w:val="0"/>
          <w:numId w:val="2"/>
        </w:numPr>
        <w:spacing w:line="360" w:before="105" w:after="105" w:lineRule="auto"/>
      </w:pPr>
      <w:r>
        <w:rPr>
          <w:rFonts w:eastAsia="inter" w:cs="inter" w:ascii="inter" w:hAnsi="inter"/>
          <w:b/>
          <w:color w:val="000000"/>
          <w:sz w:val="21"/>
        </w:rPr>
        <w:t xml:space="preserve">Simplicity:</w:t>
      </w:r>
      <w:r>
        <w:rPr>
          <w:rFonts w:eastAsia="inter" w:cs="inter" w:ascii="inter" w:hAnsi="inter"/>
          <w:color w:val="000000"/>
          <w:sz w:val="21"/>
        </w:rPr>
        <w:t xml:space="preserve"> By Occam’s Razor, the simplest explanation—thought as the origin—is preferable if it suffices.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Results</w:t>
      </w:r>
    </w:p>
    <w:p>
      <w:pPr>
        <w:spacing w:line="360" w:before="315" w:after="105" w:lineRule="auto"/>
        <w:ind w:left="-30"/>
        <w:jc w:val="left"/>
      </w:pPr>
      <w:r>
        <w:rPr>
          <w:rFonts w:eastAsia="inter" w:cs="inter" w:ascii="inter" w:hAnsi="inter"/>
          <w:b/>
          <w:color w:val="000000"/>
          <w:sz w:val="24"/>
        </w:rPr>
        <w:t xml:space="preserve">Logical Proof</w:t>
      </w:r>
    </w:p>
    <w:p>
      <w:pPr>
        <w:numPr>
          <w:ilvl w:val="0"/>
          <w:numId w:val="3"/>
        </w:numPr>
        <w:spacing w:line="360" w:before="105" w:after="105" w:lineRule="auto"/>
      </w:pPr>
      <w:r>
        <w:rPr>
          <w:rFonts w:eastAsia="inter" w:cs="inter" w:ascii="inter" w:hAnsi="inter"/>
          <w:b/>
          <w:color w:val="000000"/>
          <w:sz w:val="21"/>
        </w:rPr>
        <w:t xml:space="preserve">Premise:</w:t>
      </w:r>
      <w:r>
        <w:rPr>
          <w:rFonts w:eastAsia="inter" w:cs="inter" w:ascii="inter" w:hAnsi="inter"/>
          <w:color w:val="000000"/>
          <w:sz w:val="21"/>
        </w:rPr>
        <w:t xml:space="preserve"> Only logic and reasoning are available in a pre-creational state.</w:t>
      </w:r>
    </w:p>
    <w:p>
      <w:pPr>
        <w:numPr>
          <w:ilvl w:val="0"/>
          <w:numId w:val="3"/>
        </w:numPr>
        <w:spacing w:line="360" w:before="105" w:after="105" w:lineRule="auto"/>
      </w:pPr>
      <w:r>
        <w:rPr>
          <w:rFonts w:eastAsia="inter" w:cs="inter" w:ascii="inter" w:hAnsi="inter"/>
          <w:b/>
          <w:color w:val="000000"/>
          <w:sz w:val="21"/>
        </w:rPr>
        <w:t xml:space="preserve">Premise:</w:t>
      </w:r>
      <w:r>
        <w:rPr>
          <w:rFonts w:eastAsia="inter" w:cs="inter" w:ascii="inter" w:hAnsi="inter"/>
          <w:color w:val="000000"/>
          <w:sz w:val="21"/>
        </w:rPr>
        <w:t xml:space="preserve"> Logic and reasoning are functions of thought.</w:t>
      </w:r>
    </w:p>
    <w:p>
      <w:pPr>
        <w:numPr>
          <w:ilvl w:val="0"/>
          <w:numId w:val="3"/>
        </w:numPr>
        <w:spacing w:line="360" w:before="105" w:after="105" w:lineRule="auto"/>
      </w:pPr>
      <w:r>
        <w:rPr>
          <w:rFonts w:eastAsia="inter" w:cs="inter" w:ascii="inter" w:hAnsi="inter"/>
          <w:b/>
          <w:color w:val="000000"/>
          <w:sz w:val="21"/>
        </w:rPr>
        <w:t xml:space="preserve">Conclusion:</w:t>
      </w:r>
      <w:r>
        <w:rPr>
          <w:rFonts w:eastAsia="inter" w:cs="inter" w:ascii="inter" w:hAnsi="inter"/>
          <w:color w:val="000000"/>
          <w:sz w:val="21"/>
        </w:rPr>
        <w:t xml:space="preserve"> Thought is the necessary and sufficient tool for any inquiry, including the search for a ToE.</w:t>
      </w:r>
    </w:p>
    <w:p>
      <w:pPr>
        <w:numPr>
          <w:ilvl w:val="0"/>
          <w:numId w:val="3"/>
        </w:numPr>
        <w:spacing w:line="360" w:before="105" w:after="105" w:lineRule="auto"/>
      </w:pPr>
      <w:r>
        <w:rPr>
          <w:rFonts w:eastAsia="inter" w:cs="inter" w:ascii="inter" w:hAnsi="inter"/>
          <w:b/>
          <w:color w:val="000000"/>
          <w:sz w:val="21"/>
        </w:rPr>
        <w:t xml:space="preserve">Corollary:</w:t>
      </w:r>
      <w:r>
        <w:rPr>
          <w:rFonts w:eastAsia="inter" w:cs="inter" w:ascii="inter" w:hAnsi="inter"/>
          <w:color w:val="000000"/>
          <w:sz w:val="21"/>
        </w:rPr>
        <w:t xml:space="preserve"> “Thought = ToE” is the only logically consistent position.</w:t>
      </w:r>
    </w:p>
    <w:p>
      <w:pPr>
        <w:spacing w:line="360" w:before="315" w:after="105" w:lineRule="auto"/>
        <w:ind w:left="-30"/>
        <w:jc w:val="left"/>
      </w:pPr>
      <w:r>
        <w:rPr>
          <w:rFonts w:eastAsia="inter" w:cs="inter" w:ascii="inter" w:hAnsi="inter"/>
          <w:b/>
          <w:color w:val="000000"/>
          <w:sz w:val="24"/>
        </w:rPr>
        <w:t xml:space="preserve">Communicative Power</w:t>
      </w:r>
    </w:p>
    <w:p>
      <w:pPr>
        <w:numPr>
          <w:ilvl w:val="0"/>
          <w:numId w:val="4"/>
        </w:numPr>
        <w:spacing w:line="360" w:before="105" w:after="105" w:lineRule="auto"/>
      </w:pPr>
      <w:r>
        <w:rPr>
          <w:rFonts w:eastAsia="inter" w:cs="inter" w:ascii="inter" w:hAnsi="inter"/>
          <w:b/>
          <w:color w:val="000000"/>
          <w:sz w:val="21"/>
        </w:rPr>
        <w:t xml:space="preserve">Transformative Insight:</w:t>
      </w:r>
      <w:r>
        <w:rPr>
          <w:rFonts w:eastAsia="inter" w:cs="inter" w:ascii="inter" w:hAnsi="inter"/>
          <w:color w:val="000000"/>
          <w:sz w:val="21"/>
        </w:rPr>
        <w:t xml:space="preserve"> The realization that “Thought = ToE” elicits a sense of awe and clarity, a hallmark of profound paradigm shifts.</w:t>
      </w:r>
    </w:p>
    <w:p>
      <w:pPr>
        <w:numPr>
          <w:ilvl w:val="0"/>
          <w:numId w:val="4"/>
        </w:numPr>
        <w:spacing w:line="360" w:before="105" w:after="105" w:lineRule="auto"/>
      </w:pPr>
      <w:r>
        <w:rPr>
          <w:rFonts w:eastAsia="inter" w:cs="inter" w:ascii="inter" w:hAnsi="inter"/>
          <w:b/>
          <w:color w:val="000000"/>
          <w:sz w:val="21"/>
        </w:rPr>
        <w:t xml:space="preserve">Collective Creation:</w:t>
      </w:r>
      <w:r>
        <w:rPr>
          <w:rFonts w:eastAsia="inter" w:cs="inter" w:ascii="inter" w:hAnsi="inter"/>
          <w:color w:val="000000"/>
          <w:sz w:val="21"/>
        </w:rPr>
        <w:t xml:space="preserve"> The power of this insight is magnified through communication—sharing and co-creation of meaning among thinkers.</w:t>
      </w:r>
    </w:p>
    <w:p>
      <w:pPr>
        <w:numPr>
          <w:ilvl w:val="0"/>
          <w:numId w:val="4"/>
        </w:numPr>
        <w:spacing w:line="360" w:before="105" w:after="105" w:lineRule="auto"/>
      </w:pPr>
      <w:r>
        <w:rPr>
          <w:rFonts w:eastAsia="inter" w:cs="inter" w:ascii="inter" w:hAnsi="inter"/>
          <w:b/>
          <w:color w:val="000000"/>
          <w:sz w:val="21"/>
        </w:rPr>
        <w:t xml:space="preserve">Paradigm Shift:</w:t>
      </w:r>
      <w:r>
        <w:rPr>
          <w:rFonts w:eastAsia="inter" w:cs="inter" w:ascii="inter" w:hAnsi="inter"/>
          <w:color w:val="000000"/>
          <w:sz w:val="21"/>
        </w:rPr>
        <w:t xml:space="preserve"> The shift from proof to communication marks a new era in human understanding, where the act of sharing is itself the act of creation.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Discussion</w:t>
      </w:r>
    </w:p>
    <w:p>
      <w:pPr>
        <w:spacing w:line="360" w:before="315" w:after="105" w:lineRule="auto"/>
        <w:ind w:left="-30"/>
        <w:jc w:val="left"/>
      </w:pPr>
      <w:r>
        <w:rPr>
          <w:rFonts w:eastAsia="inter" w:cs="inter" w:ascii="inter" w:hAnsi="inter"/>
          <w:b/>
          <w:color w:val="000000"/>
          <w:sz w:val="24"/>
        </w:rPr>
        <w:t xml:space="preserve">Implications</w:t>
      </w:r>
    </w:p>
    <w:p>
      <w:pPr>
        <w:numPr>
          <w:ilvl w:val="0"/>
          <w:numId w:val="5"/>
        </w:numPr>
        <w:spacing w:line="360" w:before="105" w:after="105" w:lineRule="auto"/>
      </w:pPr>
      <w:r>
        <w:rPr>
          <w:rFonts w:eastAsia="inter" w:cs="inter" w:ascii="inter" w:hAnsi="inter"/>
          <w:b/>
          <w:color w:val="000000"/>
          <w:sz w:val="21"/>
        </w:rPr>
        <w:t xml:space="preserve">Universality:</w:t>
      </w:r>
      <w:r>
        <w:rPr>
          <w:rFonts w:eastAsia="inter" w:cs="inter" w:ascii="inter" w:hAnsi="inter"/>
          <w:color w:val="000000"/>
          <w:sz w:val="21"/>
        </w:rPr>
        <w:t xml:space="preserve"> All frameworks, realities, and explanations are emergent properties of thought.</w:t>
      </w:r>
    </w:p>
    <w:p>
      <w:pPr>
        <w:numPr>
          <w:ilvl w:val="0"/>
          <w:numId w:val="5"/>
        </w:numPr>
        <w:spacing w:line="360" w:before="105" w:after="105" w:lineRule="auto"/>
      </w:pPr>
      <w:r>
        <w:rPr>
          <w:rFonts w:eastAsia="inter" w:cs="inter" w:ascii="inter" w:hAnsi="inter"/>
          <w:b/>
          <w:color w:val="000000"/>
          <w:sz w:val="21"/>
        </w:rPr>
        <w:t xml:space="preserve">Empowerment:</w:t>
      </w:r>
      <w:r>
        <w:rPr>
          <w:rFonts w:eastAsia="inter" w:cs="inter" w:ascii="inter" w:hAnsi="inter"/>
          <w:color w:val="000000"/>
          <w:sz w:val="21"/>
        </w:rPr>
        <w:t xml:space="preserve"> Every thinker is a co-creator of reality, not merely a passive observer.</w:t>
      </w:r>
    </w:p>
    <w:p>
      <w:pPr>
        <w:numPr>
          <w:ilvl w:val="0"/>
          <w:numId w:val="5"/>
        </w:numPr>
        <w:spacing w:line="360" w:before="105" w:after="105" w:lineRule="auto"/>
      </w:pPr>
      <w:r>
        <w:rPr>
          <w:rFonts w:eastAsia="inter" w:cs="inter" w:ascii="inter" w:hAnsi="inter"/>
          <w:b/>
          <w:color w:val="000000"/>
          <w:sz w:val="21"/>
        </w:rPr>
        <w:t xml:space="preserve">Limitations of Empirical Proof:</w:t>
      </w:r>
      <w:r>
        <w:rPr>
          <w:rFonts w:eastAsia="inter" w:cs="inter" w:ascii="inter" w:hAnsi="inter"/>
          <w:color w:val="000000"/>
          <w:sz w:val="21"/>
        </w:rPr>
        <w:t xml:space="preserve"> Since all empirical methods presuppose thought, no external proof can supersede the foundational role of thought itself.</w:t>
      </w:r>
    </w:p>
    <w:p>
      <w:pPr>
        <w:spacing w:line="360" w:before="315" w:after="105" w:lineRule="auto"/>
        <w:ind w:left="-30"/>
        <w:jc w:val="left"/>
      </w:pPr>
      <w:r>
        <w:rPr>
          <w:rFonts w:eastAsia="inter" w:cs="inter" w:ascii="inter" w:hAnsi="inter"/>
          <w:b/>
          <w:color w:val="000000"/>
          <w:sz w:val="24"/>
        </w:rPr>
        <w:t xml:space="preserve">Critique and Response</w:t>
      </w:r>
    </w:p>
    <w:p>
      <w:pPr>
        <w:numPr>
          <w:ilvl w:val="0"/>
          <w:numId w:val="6"/>
        </w:numPr>
        <w:spacing w:line="360" w:before="105" w:after="105" w:lineRule="auto"/>
      </w:pPr>
      <w:r>
        <w:rPr>
          <w:rFonts w:eastAsia="inter" w:cs="inter" w:ascii="inter" w:hAnsi="inter"/>
          <w:b/>
          <w:color w:val="000000"/>
          <w:sz w:val="21"/>
        </w:rPr>
        <w:t xml:space="preserve">Circularity:</w:t>
      </w:r>
      <w:r>
        <w:rPr>
          <w:rFonts w:eastAsia="inter" w:cs="inter" w:ascii="inter" w:hAnsi="inter"/>
          <w:color w:val="000000"/>
          <w:sz w:val="21"/>
        </w:rPr>
        <w:t xml:space="preserve"> The argument is circular by necessity, as thought is both the tool and the context. This is not a weakness but a demonstration of foundational irreducibility.</w:t>
      </w:r>
    </w:p>
    <w:p>
      <w:pPr>
        <w:numPr>
          <w:ilvl w:val="0"/>
          <w:numId w:val="6"/>
        </w:numPr>
        <w:spacing w:line="360" w:before="105" w:after="105" w:lineRule="auto"/>
      </w:pPr>
      <w:r>
        <w:rPr>
          <w:rFonts w:eastAsia="inter" w:cs="inter" w:ascii="inter" w:hAnsi="inter"/>
          <w:b/>
          <w:color w:val="000000"/>
          <w:sz w:val="21"/>
        </w:rPr>
        <w:t xml:space="preserve">Subjectivity:</w:t>
      </w:r>
      <w:r>
        <w:rPr>
          <w:rFonts w:eastAsia="inter" w:cs="inter" w:ascii="inter" w:hAnsi="inter"/>
          <w:color w:val="000000"/>
          <w:sz w:val="21"/>
        </w:rPr>
        <w:t xml:space="preserve"> While the experience of “awe” is subjective, the logical necessity of thought is universal.</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This article presents a compelling case for “Thought = ToE,” grounded in the only tools available in a pre-creational state: logic and reasoning. The true power of this insight, however, lies not in its irrefutable logic, but in its capacity to transform through communication. By sharing and co-creating meaning, humanity can collectively embrace a new paradigm—one in which the impossible becomes possible through the creative power of thought.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References</w:t>
      </w:r>
    </w:p>
    <w:p>
      <w:pPr>
        <w:numPr>
          <w:ilvl w:val="0"/>
          <w:numId w:val="7"/>
        </w:numPr>
        <w:spacing w:line="360" w:before="105" w:after="105" w:lineRule="auto"/>
      </w:pPr>
      <w:r>
        <w:rPr>
          <w:rFonts w:eastAsia="inter" w:cs="inter" w:ascii="inter" w:hAnsi="inter"/>
          <w:color w:val="000000"/>
          <w:sz w:val="21"/>
        </w:rPr>
        <w:t xml:space="preserve">Descartes, R. (1641). </w:t>
      </w:r>
      <w:r>
        <w:rPr>
          <w:rFonts w:eastAsia="inter" w:cs="inter" w:ascii="inter" w:hAnsi="inter"/>
          <w:i/>
          <w:color w:val="000000"/>
          <w:sz w:val="21"/>
        </w:rPr>
        <w:t xml:space="preserve">Meditations on First Philosophy</w:t>
      </w:r>
      <w:r>
        <w:rPr>
          <w:rFonts w:eastAsia="inter" w:cs="inter" w:ascii="inter" w:hAnsi="inter"/>
          <w:color w:val="000000"/>
          <w:sz w:val="21"/>
        </w:rPr>
        <w:t xml:space="preserve">.</w:t>
      </w:r>
    </w:p>
    <w:p>
      <w:pPr>
        <w:numPr>
          <w:ilvl w:val="0"/>
          <w:numId w:val="7"/>
        </w:numPr>
        <w:spacing w:line="360" w:before="105" w:after="105" w:lineRule="auto"/>
      </w:pPr>
      <w:r>
        <w:rPr>
          <w:rFonts w:eastAsia="inter" w:cs="inter" w:ascii="inter" w:hAnsi="inter"/>
          <w:color w:val="000000"/>
          <w:sz w:val="21"/>
        </w:rPr>
        <w:t xml:space="preserve">Kant, I. (1781). </w:t>
      </w:r>
      <w:r>
        <w:rPr>
          <w:rFonts w:eastAsia="inter" w:cs="inter" w:ascii="inter" w:hAnsi="inter"/>
          <w:i/>
          <w:color w:val="000000"/>
          <w:sz w:val="21"/>
        </w:rPr>
        <w:t xml:space="preserve">Critique of Pure Reason</w:t>
      </w:r>
      <w:r>
        <w:rPr>
          <w:rFonts w:eastAsia="inter" w:cs="inter" w:ascii="inter" w:hAnsi="inter"/>
          <w:color w:val="000000"/>
          <w:sz w:val="21"/>
        </w:rPr>
        <w:t xml:space="preserve">.</w:t>
      </w:r>
    </w:p>
    <w:p>
      <w:pPr>
        <w:numPr>
          <w:ilvl w:val="0"/>
          <w:numId w:val="7"/>
        </w:numPr>
        <w:spacing w:line="360" w:before="105" w:after="105" w:lineRule="auto"/>
      </w:pPr>
      <w:r>
        <w:rPr>
          <w:rFonts w:eastAsia="inter" w:cs="inter" w:ascii="inter" w:hAnsi="inter"/>
          <w:color w:val="000000"/>
          <w:sz w:val="21"/>
        </w:rPr>
        <w:t xml:space="preserve">Hegel, G.W.F. (1807). </w:t>
      </w:r>
      <w:r>
        <w:rPr>
          <w:rFonts w:eastAsia="inter" w:cs="inter" w:ascii="inter" w:hAnsi="inter"/>
          <w:i/>
          <w:color w:val="000000"/>
          <w:sz w:val="21"/>
        </w:rPr>
        <w:t xml:space="preserve">Phenomenology of Spirit</w:t>
      </w:r>
      <w:r>
        <w:rPr>
          <w:rFonts w:eastAsia="inter" w:cs="inter" w:ascii="inter" w:hAnsi="inter"/>
          <w:color w:val="000000"/>
          <w:sz w:val="21"/>
        </w:rPr>
        <w:t xml:space="preserve">.</w:t>
      </w:r>
    </w:p>
    <w:p>
      <w:pPr>
        <w:numPr>
          <w:ilvl w:val="0"/>
          <w:numId w:val="7"/>
        </w:numPr>
        <w:spacing w:line="360" w:before="105" w:after="105" w:lineRule="auto"/>
      </w:pPr>
      <w:r>
        <w:rPr>
          <w:rFonts w:eastAsia="inter" w:cs="inter" w:ascii="inter" w:hAnsi="inter"/>
          <w:color w:val="000000"/>
          <w:sz w:val="21"/>
        </w:rPr>
        <w:t xml:space="preserve">Habermas, J. (1981). </w:t>
      </w:r>
      <w:r>
        <w:rPr>
          <w:rFonts w:eastAsia="inter" w:cs="inter" w:ascii="inter" w:hAnsi="inter"/>
          <w:i/>
          <w:color w:val="000000"/>
          <w:sz w:val="21"/>
        </w:rPr>
        <w:t xml:space="preserve">The Theory of Communicative Action</w:t>
      </w:r>
      <w:r>
        <w:rPr>
          <w:rFonts w:eastAsia="inter" w:cs="inter" w:ascii="inter" w:hAnsi="inter"/>
          <w:color w:val="000000"/>
          <w:sz w:val="21"/>
        </w:rPr>
        <w:t xml:space="preserve">.</w:t>
      </w:r>
    </w:p>
    <w:p>
      <w:pPr>
        <w:numPr>
          <w:ilvl w:val="0"/>
          <w:numId w:val="7"/>
        </w:numPr>
        <w:spacing w:line="360" w:before="105" w:after="105" w:lineRule="auto"/>
      </w:pPr>
      <w:r>
        <w:rPr>
          <w:rFonts w:eastAsia="inter" w:cs="inter" w:ascii="inter" w:hAnsi="inter"/>
          <w:color w:val="000000"/>
          <w:sz w:val="21"/>
        </w:rPr>
        <w:t xml:space="preserve">Whitehead, A.N. (1929). </w:t>
      </w:r>
      <w:r>
        <w:rPr>
          <w:rFonts w:eastAsia="inter" w:cs="inter" w:ascii="inter" w:hAnsi="inter"/>
          <w:i/>
          <w:color w:val="000000"/>
          <w:sz w:val="21"/>
        </w:rPr>
        <w:t xml:space="preserve">Process and Reality</w:t>
      </w:r>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Peer Review Statement:</w:t>
      </w:r>
      <w:r>
        <w:rPr>
          <w:rFonts w:eastAsia="inter" w:cs="inter" w:ascii="inter" w:hAnsi="inter"/>
          <w:color w:val="000000"/>
        </w:rPr>
        <w:br w:type="textWrapping"/>
      </w:r>
      <w:r>
        <w:rPr>
          <w:rFonts w:eastAsia="inter" w:cs="inter" w:ascii="inter" w:hAnsi="inter"/>
          <w:color w:val="000000"/>
        </w:rPr>
        <w:t xml:space="preserve">This article is submitted for open peer review. Feedback on logical rigor, philosophical implications, and communicative clarity is welcomed.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Correspondence:</w:t>
      </w:r>
      <w:r>
        <w:rPr>
          <w:rFonts w:eastAsia="inter" w:cs="inter" w:ascii="inter" w:hAnsi="inter"/>
          <w:color w:val="000000"/>
        </w:rPr>
        <w:br w:type="textWrapping"/>
      </w:r>
      <w:r>
        <w:rPr>
          <w:rFonts w:eastAsia="inter" w:cs="inter" w:ascii="inter" w:hAnsi="inter"/>
          <w:color w:val="000000"/>
        </w:rPr>
        <w:t xml:space="preserve">[Your Email or Contact Information]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i/>
          <w:color w:val="000000"/>
        </w:rPr>
        <w:t xml:space="preserve">End of Article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decimal"/>
      <w:lvlText w:val="%1."/>
      <w:lvlJc w:val="left"/>
      <w:pPr>
        <w:tabs>
          <w:tab w:val="num" w:pos="900"/>
        </w:tabs>
        <w:ind w:left="540" w:hanging="360"/>
      </w:p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835fb831448d22afe4f894aee2baf00bbac81bec.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2025-05-22T07:57:51.500Z</dcterms:created>
  <dcterms:modified xsi:type="dcterms:W3CDTF">2025-05-22T07:57:51.500Z</dcterms:modified>
</cp:coreProperties>
</file>