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DOC_0023_COMP</w:t>
      </w:r>
    </w:p>
    <w:p>
      <w:r>
        <w:t># Research Monograph: Computer Science Invariants</w:t>
      </w:r>
    </w:p>
    <w:p>
      <w:r>
        <w:t>## Section 1: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1.4 confirmed invariant preservation across multi-tiered evaluation criteria with confidence interval [94.2%, 98.7%].</w:t>
      </w:r>
    </w:p>
    <w:p>
      <w:r>
        <w:t>## Section 2: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2.4 confirmed invariant preservation across multi-tiered evaluation criteria with confidence interval [94.2%, 98.7%].</w:t>
      </w:r>
    </w:p>
    <w:p>
      <w:r>
        <w:t>## Section 3: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3.4 confirmed invariant preservation across multi-tiered evaluation criteria with confidence interval [94.2%, 98.7%].</w:t>
      </w:r>
    </w:p>
    <w:p>
      <w:r>
        <w:t>## Section 4: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4.4 confirmed invariant preservation across multi-tiered evaluation criteria with confidence interval [94.2%, 98.7%].</w:t>
      </w:r>
    </w:p>
    <w:p>
      <w:r>
        <w:t>## Section 5: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5.4 confirmed invariant preservation across multi-tiered evaluation criteria with confidence interval [94.2%, 98.7%].</w:t>
      </w:r>
    </w:p>
    <w:p>
      <w:r>
        <w:t>## Section 6: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6.4 confirmed invariant preservation across multi-tiered evaluation criteria with confidence interval [94.2%, 98.7%].</w:t>
      </w:r>
    </w:p>
    <w:p>
      <w:r>
        <w:t>## Section 7: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7.4 confirmed invariant preservation across multi-tiered evaluation criteria with confidence interval [94.2%, 98.7%].</w:t>
      </w:r>
    </w:p>
    <w:p>
      <w:r>
        <w:t>## Section 8: Comprehensive Domain Analysis</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8.1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8.2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8.3 confirmed invariant preservation across multi-tiered evaluation criteria with confidence interval [94.2%, 98.7%].</w:t>
      </w:r>
    </w:p>
    <w:p>
      <w:r>
        <w:t>Convolutional neural networks extract hierarchical spatial representations from raw sensor data through weight sharing and receptive field pooling. As the depth of the network increases, gradient signals diminish across backpropagation steps. ResNet resolves this by introducing residual identity skip connections, enabling the training of networks with over 152 layers. On the ImageNet benchmark, this architecture achieved a top-5 error rate of 3.57%, demonstrating that optimization difficulty does not scale linearly with parameter volume.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