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DOC_0058_ENGI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8.1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8.2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8.3 confirmed invariant preservation across multi-tiered evaluation criteria with confidence interval [94.2%, 98.7%].</w:t>
      </w:r>
    </w:p>
    <w:p>
      <w:r>
        <w:t>Additionally, fluid dynamics plays a vital role in the design and optimization of high-efficiency aerodynamic structures. The interaction between boundary layer flow and surface friction is a key factor that directly influences total drag resistance. Furthermore, through rigorous numerical simulations utilizing Navier-Stokes formulations, our experimental findings reveal that turbulent vortex shedding can be effectively suppressed by implementing passive geometric modifications.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