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DOC_0073_MATH</w:t>
      </w:r>
    </w:p>
    <w:p>
      <w:r>
        <w:t># Research Monograph: Mathematics Statistics Invariants</w:t>
      </w:r>
    </w:p>
    <w:p>
      <w:r>
        <w:t>## Section 1: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1.4 confirmed invariant preservation across multi-tiered evaluation criteria with confidence interval [94.2%, 98.7%].</w:t>
      </w:r>
    </w:p>
    <w:p>
      <w:r>
        <w:t>## Section 2: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2.4 confirmed invariant preservation across multi-tiered evaluation criteria with confidence interval [94.2%, 98.7%].</w:t>
      </w:r>
    </w:p>
    <w:p>
      <w:r>
        <w:t>## Section 3: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3.4 confirmed invariant preservation across multi-tiered evaluation criteria with confidence interval [94.2%, 98.7%].</w:t>
      </w:r>
    </w:p>
    <w:p>
      <w:r>
        <w:t>## Section 4: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4.4 confirmed invariant preservation across multi-tiered evaluation criteria with confidence interval [94.2%, 98.7%].</w:t>
      </w:r>
    </w:p>
    <w:p>
      <w:r>
        <w:t>## Section 5: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5.4 confirmed invariant preservation across multi-tiered evaluation criteria with confidence interval [94.2%, 98.7%].</w:t>
      </w:r>
    </w:p>
    <w:p>
      <w:r>
        <w:t>## Section 6: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6.4 confirmed invariant preservation across multi-tiered evaluation criteria with confidence interval [94.2%, 98.7%].</w:t>
      </w:r>
    </w:p>
    <w:p>
      <w:r>
        <w:t>## Section 7: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7.4 confirmed invariant preservation across multi-tiered evaluation criteria with confidence interval [94.2%, 98.7%].</w:t>
      </w:r>
    </w:p>
    <w:p>
      <w:r>
        <w:t>## Section 8: Comprehensive Domain Analysis</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8.1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8.2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8.3 confirmed invariant preservation across multi-tiered evaluation criteria with confidence interval [94.2%, 98.7%].</w:t>
      </w:r>
    </w:p>
    <w:p>
      <w:r>
        <w:t>Differential geometry analyzes smooth manifolds equipped with symmetric Riemannian metric tensors g_ij. Geodesic curves minimize the Riemannian action integral across curves connecting two boundary points. When the sectional curvature is strictly negative, the geodesic flow exhibits Anosov hyperbolicity and exponential mixing of trajectories.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