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DOC_0128_MEDI</w:t>
      </w:r>
    </w:p>
    <w:p>
      <w:r>
        <w:t># Research Monograph: Medical Life Sciences Invariants</w:t>
      </w:r>
    </w:p>
    <w:p>
      <w:r>
        <w:t>## Section 1: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1.1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1.2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1.3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2.1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2.2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2.3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3.1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3.2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3.3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4.1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4.2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4.3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5.1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5.2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5.3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6.1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6.2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6.3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7.1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7.2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7.3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8.1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8.2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8.3 confirmed invariant preservation across multi-tiered evaluation criteria with confidence interval [94.2%, 98.7%].</w:t>
      </w:r>
    </w:p>
    <w:p>
      <w:r>
        <w:t>In addition, precision genomic editing has emerged as a groundbreaking paradigm in modern biomedical therapeutics. The CRISPR-Cas9 platform facilitates highly accurate targeted modifications within complex genetic architectures. Furthermore, our clinical trial outcomes indicate that therapeutic administration resulted in a 32.4% reduction in targeted disease biomarkers with high statistical significance (p &lt; 0.001).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