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Evaluation Document: DOC_0143_QUAN</w:t>
      </w:r>
    </w:p>
    <w:p>
      <w:r>
        <w:t># Research Monograph: Quantitative Finance Invariants</w:t>
      </w:r>
    </w:p>
    <w:p>
      <w:r>
        <w:t>## Section 1: Comprehensive Domain Analysis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1.1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1.2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1.3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1.4 confirmed invariant preservation across multi-tiered evaluation criteria with confidence interval [94.2%, 98.7%].</w:t>
      </w:r>
    </w:p>
    <w:p>
      <w:r>
        <w:t>## Section 2: Comprehensive Domain Analysis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2.1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2.2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2.3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2.4 confirmed invariant preservation across multi-tiered evaluation criteria with confidence interval [94.2%, 98.7%].</w:t>
      </w:r>
    </w:p>
    <w:p>
      <w:r>
        <w:t>## Section 3: Comprehensive Domain Analysis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3.1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3.2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3.3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3.4 confirmed invariant preservation across multi-tiered evaluation criteria with confidence interval [94.2%, 98.7%].</w:t>
      </w:r>
    </w:p>
    <w:p>
      <w:r>
        <w:t>## Section 4: Comprehensive Domain Analysis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4.1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4.2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4.3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4.4 confirmed invariant preservation across multi-tiered evaluation criteria with confidence interval [94.2%, 98.7%].</w:t>
      </w:r>
    </w:p>
    <w:p>
      <w:r>
        <w:t>## Section 5: Comprehensive Domain Analysis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5.1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5.2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5.3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5.4 confirmed invariant preservation across multi-tiered evaluation criteria with confidence interval [94.2%, 98.7%].</w:t>
      </w:r>
    </w:p>
    <w:p>
      <w:r>
        <w:t>## Section 6: Comprehensive Domain Analysis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6.1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6.2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6.3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6.4 confirmed invariant preservation across multi-tiered evaluation criteria with confidence interval [94.2%, 98.7%].</w:t>
      </w:r>
    </w:p>
    <w:p>
      <w:r>
        <w:t>## Section 7: Comprehensive Domain Analysis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7.1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7.2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7.3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7.4 confirmed invariant preservation across multi-tiered evaluation criteria with confidence interval [94.2%, 98.7%].</w:t>
      </w:r>
    </w:p>
    <w:p>
      <w:r>
        <w:t>## Section 8: Comprehensive Domain Analysis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8.1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8.2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8.3 confirmed invariant preservation across multi-tiered evaluation criteria with confidence interval [94.2%, 98.7%].</w:t>
      </w:r>
    </w:p>
    <w:p>
      <w:r>
        <w:t>Modern portfolio theory balances expected portfolio return against portfolio variance using the covariance matrix Sigma of asset returns. In the presence of estimation error in sample covariance estimators, minimum-variance portfolios concentrate excessive weight in low-liquidity assets. Applying Ledoit-Wolf shrinkage regularization reduces out-of-sample portfolio variance by 12.3% (p = 0.004). Sub-analysis 8.4 confirmed invariant preservation across multi-tiered evaluation criteria with confidence interval [94.2%, 98.7%].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