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DOC_0158_QUAN</w:t>
      </w:r>
    </w:p>
    <w:p>
      <w:r>
        <w:t># Research Monograph: Quantitative Finance Invariants</w:t>
      </w:r>
    </w:p>
    <w:p>
      <w:r>
        <w:t>## Section 1: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1.4 confirmed invariant preservation across multi-tiered evaluation criteria with confidence interval [94.2%, 98.7%].</w:t>
      </w:r>
    </w:p>
    <w:p>
      <w:r>
        <w:t>## Section 2: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2.4 confirmed invariant preservation across multi-tiered evaluation criteria with confidence interval [94.2%, 98.7%].</w:t>
      </w:r>
    </w:p>
    <w:p>
      <w:r>
        <w:t>## Section 3: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3.4 confirmed invariant preservation across multi-tiered evaluation criteria with confidence interval [94.2%, 98.7%].</w:t>
      </w:r>
    </w:p>
    <w:p>
      <w:r>
        <w:t>## Section 4: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4.4 confirmed invariant preservation across multi-tiered evaluation criteria with confidence interval [94.2%, 98.7%].</w:t>
      </w:r>
    </w:p>
    <w:p>
      <w:r>
        <w:t>## Section 5: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5.4 confirmed invariant preservation across multi-tiered evaluation criteria with confidence interval [94.2%, 98.7%].</w:t>
      </w:r>
    </w:p>
    <w:p>
      <w:r>
        <w:t>## Section 6: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6.4 confirmed invariant preservation across multi-tiered evaluation criteria with confidence interval [94.2%, 98.7%].</w:t>
      </w:r>
    </w:p>
    <w:p>
      <w:r>
        <w:t>## Section 7: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7.4 confirmed invariant preservation across multi-tiered evaluation criteria with confidence interval [94.2%, 98.7%].</w:t>
      </w:r>
    </w:p>
    <w:p>
      <w:r>
        <w:t>## Section 8: Comprehensive Domain Analysis</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8.1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8.2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8.3 confirmed invariant preservation across multi-tiered evaluation criteria with confidence interval [94.2%, 98.7%].</w:t>
      </w:r>
    </w:p>
    <w:p>
      <w:r>
        <w:t>Furthermore, financial risk modeling is a critical component of institutional asset management and algorithmic trading. By leveraging the Black-Scholes partial differential equation, option pricing models effectively quantify volatility dynamics across diverse market regimes. Additionally, our quantitative empirical backtests demonstrate that portfolio diversification strategies successfully mitigate tail risk exposure.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