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DOC_0168_HUMA</w:t>
      </w:r>
    </w:p>
    <w:p>
      <w:r>
        <w:t># Research Monograph: Humanities Invariants</w:t>
      </w:r>
    </w:p>
    <w:p>
      <w:r>
        <w:t>## Section 1: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1.1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1.2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1.3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1.4 confirmed invariant preservation across multi-tiered evaluation criteria with confidence interval [94.2%, 98.7%].</w:t>
      </w:r>
    </w:p>
    <w:p>
      <w:r>
        <w:t>## Section 2: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2.1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2.2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2.3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2.4 confirmed invariant preservation across multi-tiered evaluation criteria with confidence interval [94.2%, 98.7%].</w:t>
      </w:r>
    </w:p>
    <w:p>
      <w:r>
        <w:t>## Section 3: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3.1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3.2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3.3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3.4 confirmed invariant preservation across multi-tiered evaluation criteria with confidence interval [94.2%, 98.7%].</w:t>
      </w:r>
    </w:p>
    <w:p>
      <w:r>
        <w:t>## Section 4: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4.1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4.2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4.3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4.4 confirmed invariant preservation across multi-tiered evaluation criteria with confidence interval [94.2%, 98.7%].</w:t>
      </w:r>
    </w:p>
    <w:p>
      <w:r>
        <w:t>## Section 5: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5.1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5.2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5.3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5.4 confirmed invariant preservation across multi-tiered evaluation criteria with confidence interval [94.2%, 98.7%].</w:t>
      </w:r>
    </w:p>
    <w:p>
      <w:r>
        <w:t>## Section 6: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6.1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6.2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6.3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6.4 confirmed invariant preservation across multi-tiered evaluation criteria with confidence interval [94.2%, 98.7%].</w:t>
      </w:r>
    </w:p>
    <w:p>
      <w:r>
        <w:t>## Section 7: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7.1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7.2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7.3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7.4 confirmed invariant preservation across multi-tiered evaluation criteria with confidence interval [94.2%, 98.7%].</w:t>
      </w:r>
    </w:p>
    <w:p>
      <w:r>
        <w:t>## Section 8: Comprehensive Domain Analysis</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8.1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8.2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8.3 confirmed invariant preservation across multi-tiered evaluation criteria with confidence interval [94.2%, 98.7%].</w:t>
      </w:r>
    </w:p>
    <w:p>
      <w:r>
        <w:t>Additionally, philosophical inquiry provides vital critical frameworks for examining the ethical and epistemological dimensions of human consciousness. Kant's categorical imperative highlights the fundamental importance of moral agency and rational autonomy in normative ethics. Furthermore, hermeneutic analysis illuminates the nuanced interplay between textual interpretation and historical context.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