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DOC_0203_LAW</w:t>
      </w:r>
    </w:p>
    <w:p>
      <w:r>
        <w:t># Research Monograph: Law Invariants</w:t>
      </w:r>
    </w:p>
    <w:p>
      <w:r>
        <w:t>## Section 1: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1.4 confirmed invariant preservation across multi-tiered evaluation criteria with confidence interval [94.2%, 98.7%].</w:t>
      </w:r>
    </w:p>
    <w:p>
      <w:r>
        <w:t>## Section 2: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2.4 confirmed invariant preservation across multi-tiered evaluation criteria with confidence interval [94.2%, 98.7%].</w:t>
      </w:r>
    </w:p>
    <w:p>
      <w:r>
        <w:t>## Section 3: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3.4 confirmed invariant preservation across multi-tiered evaluation criteria with confidence interval [94.2%, 98.7%].</w:t>
      </w:r>
    </w:p>
    <w:p>
      <w:r>
        <w:t>## Section 4: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4.4 confirmed invariant preservation across multi-tiered evaluation criteria with confidence interval [94.2%, 98.7%].</w:t>
      </w:r>
    </w:p>
    <w:p>
      <w:r>
        <w:t>## Section 5: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5.4 confirmed invariant preservation across multi-tiered evaluation criteria with confidence interval [94.2%, 98.7%].</w:t>
      </w:r>
    </w:p>
    <w:p>
      <w:r>
        <w:t>## Section 6: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6.4 confirmed invariant preservation across multi-tiered evaluation criteria with confidence interval [94.2%, 98.7%].</w:t>
      </w:r>
    </w:p>
    <w:p>
      <w:r>
        <w:t>## Section 7: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7.4 confirmed invariant preservation across multi-tiered evaluation criteria with confidence interval [94.2%, 98.7%].</w:t>
      </w:r>
    </w:p>
    <w:p>
      <w:r>
        <w:t>## Section 8: Comprehensive Domain Analysis</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8.1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8.2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8.3 confirmed invariant preservation across multi-tiered evaluation criteria with confidence interval [94.2%, 98.7%].</w:t>
      </w:r>
    </w:p>
    <w:p>
      <w:r>
        <w:t>The standard for summary judgment under Federal Rule of Civil Procedure 56 mandates that the moving party show there is no genuine dispute as to any material fact and that the movant is entitled to judgment as a matter of law. A dispute is genuine if a reasonable jury could return a verdict for the non-moving party based on the record evidence.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