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DOC_0208_LAW</w:t>
      </w:r>
    </w:p>
    <w:p>
      <w:r>
        <w:t># Research Monograph: Law Invariants</w:t>
      </w:r>
    </w:p>
    <w:p>
      <w:r>
        <w:t>## Section 1: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1.4 confirmed invariant preservation across multi-tiered evaluation criteria with confidence interval [94.2%, 98.7%].</w:t>
      </w:r>
    </w:p>
    <w:p>
      <w:r>
        <w:t>## Section 2: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2.4 confirmed invariant preservation across multi-tiered evaluation criteria with confidence interval [94.2%, 98.7%].</w:t>
      </w:r>
    </w:p>
    <w:p>
      <w:r>
        <w:t>## Section 3: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3.4 confirmed invariant preservation across multi-tiered evaluation criteria with confidence interval [94.2%, 98.7%].</w:t>
      </w:r>
    </w:p>
    <w:p>
      <w:r>
        <w:t>## Section 4: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4.4 confirmed invariant preservation across multi-tiered evaluation criteria with confidence interval [94.2%, 98.7%].</w:t>
      </w:r>
    </w:p>
    <w:p>
      <w:r>
        <w:t>## Section 5: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5.4 confirmed invariant preservation across multi-tiered evaluation criteria with confidence interval [94.2%, 98.7%].</w:t>
      </w:r>
    </w:p>
    <w:p>
      <w:r>
        <w:t>## Section 6: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6.4 confirmed invariant preservation across multi-tiered evaluation criteria with confidence interval [94.2%, 98.7%].</w:t>
      </w:r>
    </w:p>
    <w:p>
      <w:r>
        <w:t>## Section 7: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7.4 confirmed invariant preservation across multi-tiered evaluation criteria with confidence interval [94.2%, 98.7%].</w:t>
      </w:r>
    </w:p>
    <w:p>
      <w:r>
        <w:t>## Section 8: Comprehensive Domain Analysis</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8.1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8.2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8.3 confirmed invariant preservation across multi-tiered evaluation criteria with confidence interval [94.2%, 98.7%].</w:t>
      </w:r>
    </w:p>
    <w:p>
      <w:r>
        <w:t>Furthermore, constitutional jurisprudence plays a crucial role in safeguarding individual liberties and delineating governmental authority. The principle of stare decisis ensures institutional stability and predictability across judicial rulings. In addition, the application of strict scrutiny requires compelling state interests to justify statutory classifications.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